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992E3" w14:textId="2E83D457" w:rsidR="009667D6" w:rsidRPr="007A10A5" w:rsidRDefault="007A10A5" w:rsidP="007A10A5">
      <w:pPr>
        <w:tabs>
          <w:tab w:val="center" w:pos="4680"/>
        </w:tabs>
        <w:spacing w:after="120" w:line="240" w:lineRule="auto"/>
        <w:rPr>
          <w:rFonts w:ascii="Times New Roman" w:hAnsi="Times New Roman" w:cs="Times New Roman"/>
          <w:sz w:val="28"/>
          <w:szCs w:val="28"/>
          <w:lang w:val="fr-FR"/>
        </w:rPr>
      </w:pPr>
      <w:bookmarkStart w:id="0" w:name="_Hlk19633923"/>
      <w:r w:rsidRPr="007A10A5">
        <w:rPr>
          <w:rFonts w:ascii="Times New Roman" w:hAnsi="Times New Roman" w:cs="Times New Roman"/>
          <w:noProof/>
          <w:sz w:val="28"/>
          <w:szCs w:val="28"/>
        </w:rPr>
        <w:drawing>
          <wp:anchor distT="0" distB="0" distL="114300" distR="114300" simplePos="0" relativeHeight="251658240" behindDoc="0" locked="0" layoutInCell="1" allowOverlap="1" wp14:anchorId="41A0BDBE" wp14:editId="2DD1EC7A">
            <wp:simplePos x="0" y="0"/>
            <wp:positionH relativeFrom="margin">
              <wp:align>center</wp:align>
            </wp:positionH>
            <wp:positionV relativeFrom="paragraph">
              <wp:posOffset>0</wp:posOffset>
            </wp:positionV>
            <wp:extent cx="1438910" cy="1438910"/>
            <wp:effectExtent l="0" t="0" r="8890" b="8890"/>
            <wp:wrapThrough wrapText="bothSides">
              <wp:wrapPolygon edited="0">
                <wp:start x="0" y="0"/>
                <wp:lineTo x="0" y="21447"/>
                <wp:lineTo x="21447" y="21447"/>
                <wp:lineTo x="21447" y="0"/>
                <wp:lineTo x="0" y="0"/>
              </wp:wrapPolygon>
            </wp:wrapThrough>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anchor>
        </w:drawing>
      </w:r>
      <w:r w:rsidR="00A82E84" w:rsidRPr="007A10A5">
        <w:rPr>
          <w:rFonts w:ascii="Times New Roman" w:hAnsi="Times New Roman" w:cs="Times New Roman"/>
          <w:b/>
          <w:bCs/>
          <w:noProof/>
          <w:sz w:val="28"/>
          <w:szCs w:val="28"/>
          <w:lang w:val="fr-FR" w:eastAsia="ru-RU"/>
        </w:rPr>
        <w:t xml:space="preserve">      </w:t>
      </w:r>
    </w:p>
    <w:p w14:paraId="3BBB6E37" w14:textId="48B48F37" w:rsidR="004652E6" w:rsidRPr="007A10A5" w:rsidRDefault="004652E6" w:rsidP="007A10A5">
      <w:pPr>
        <w:spacing w:after="120" w:line="240" w:lineRule="auto"/>
        <w:jc w:val="center"/>
        <w:rPr>
          <w:rFonts w:ascii="Times New Roman" w:hAnsi="Times New Roman" w:cs="Times New Roman"/>
          <w:sz w:val="28"/>
          <w:szCs w:val="28"/>
          <w:lang w:val="fr-FR"/>
        </w:rPr>
      </w:pPr>
    </w:p>
    <w:p w14:paraId="51E71F33" w14:textId="201A84E5" w:rsidR="007A10A5" w:rsidRPr="007A10A5" w:rsidRDefault="007A10A5" w:rsidP="007A10A5">
      <w:pPr>
        <w:spacing w:after="120" w:line="240" w:lineRule="auto"/>
        <w:jc w:val="center"/>
        <w:rPr>
          <w:rFonts w:ascii="Times New Roman" w:hAnsi="Times New Roman" w:cs="Times New Roman"/>
          <w:sz w:val="28"/>
          <w:szCs w:val="28"/>
          <w:lang w:val="fr-FR"/>
        </w:rPr>
      </w:pPr>
    </w:p>
    <w:p w14:paraId="346901A9" w14:textId="63364745" w:rsidR="007A10A5" w:rsidRPr="007A10A5" w:rsidRDefault="007A10A5" w:rsidP="007A10A5">
      <w:pPr>
        <w:spacing w:after="120" w:line="240" w:lineRule="auto"/>
        <w:jc w:val="center"/>
        <w:rPr>
          <w:rFonts w:ascii="Times New Roman" w:hAnsi="Times New Roman" w:cs="Times New Roman"/>
          <w:sz w:val="28"/>
          <w:szCs w:val="28"/>
          <w:lang w:val="fr-FR"/>
        </w:rPr>
      </w:pPr>
    </w:p>
    <w:p w14:paraId="34591395" w14:textId="604888E9" w:rsidR="007A10A5" w:rsidRPr="007A10A5" w:rsidRDefault="007A10A5" w:rsidP="007A10A5">
      <w:pPr>
        <w:spacing w:after="120" w:line="240" w:lineRule="auto"/>
        <w:jc w:val="center"/>
        <w:rPr>
          <w:rFonts w:ascii="Times New Roman" w:hAnsi="Times New Roman" w:cs="Times New Roman"/>
          <w:sz w:val="28"/>
          <w:szCs w:val="28"/>
          <w:lang w:val="fr-FR"/>
        </w:rPr>
      </w:pPr>
    </w:p>
    <w:p w14:paraId="59B94DFA" w14:textId="77777777" w:rsidR="007A10A5" w:rsidRPr="007A10A5" w:rsidRDefault="007A10A5" w:rsidP="007A10A5">
      <w:pPr>
        <w:spacing w:after="120" w:line="240" w:lineRule="auto"/>
        <w:jc w:val="center"/>
        <w:rPr>
          <w:rFonts w:ascii="Times New Roman" w:hAnsi="Times New Roman" w:cs="Times New Roman"/>
          <w:sz w:val="28"/>
          <w:szCs w:val="28"/>
          <w:lang w:val="fr-FR"/>
        </w:rPr>
      </w:pPr>
    </w:p>
    <w:p w14:paraId="0960BA27" w14:textId="77777777" w:rsidR="00F3719B" w:rsidRPr="007A10A5" w:rsidRDefault="00F3719B" w:rsidP="007A10A5">
      <w:pPr>
        <w:spacing w:after="120" w:line="240" w:lineRule="auto"/>
        <w:jc w:val="center"/>
        <w:rPr>
          <w:rFonts w:ascii="Times New Roman" w:eastAsia="Calibri" w:hAnsi="Times New Roman" w:cs="Times New Roman"/>
          <w:b/>
          <w:sz w:val="28"/>
          <w:szCs w:val="28"/>
          <w:lang w:val="fr-FR" w:eastAsia="ru-RU"/>
        </w:rPr>
      </w:pPr>
      <w:r w:rsidRPr="007A10A5">
        <w:rPr>
          <w:rFonts w:ascii="Times New Roman" w:eastAsia="Calibri" w:hAnsi="Times New Roman" w:cs="Times New Roman"/>
          <w:b/>
          <w:sz w:val="28"/>
          <w:szCs w:val="28"/>
          <w:lang w:val="fr-FR" w:eastAsia="ru-RU"/>
        </w:rPr>
        <w:t xml:space="preserve">NOTE CONCEPTUELLE </w:t>
      </w:r>
    </w:p>
    <w:p w14:paraId="68BD6663" w14:textId="2A4229A9" w:rsidR="00A56B01" w:rsidRPr="007A10A5" w:rsidRDefault="00F3719B" w:rsidP="007A10A5">
      <w:pPr>
        <w:spacing w:after="120" w:line="240" w:lineRule="auto"/>
        <w:jc w:val="center"/>
        <w:rPr>
          <w:rFonts w:ascii="Times New Roman" w:eastAsia="Calibri" w:hAnsi="Times New Roman" w:cs="Times New Roman"/>
          <w:b/>
          <w:sz w:val="28"/>
          <w:szCs w:val="28"/>
          <w:lang w:val="fr-FR" w:eastAsia="ru-RU"/>
        </w:rPr>
      </w:pPr>
      <w:r w:rsidRPr="007A10A5">
        <w:rPr>
          <w:rFonts w:ascii="Times New Roman" w:eastAsia="Calibri" w:hAnsi="Times New Roman" w:cs="Times New Roman"/>
          <w:b/>
          <w:sz w:val="28"/>
          <w:szCs w:val="28"/>
          <w:lang w:val="fr-FR" w:eastAsia="ru-RU"/>
        </w:rPr>
        <w:t>SUR LA CREATION DE L'ASSOCIATION INTERNATIONALE ISLAMIQUE DE</w:t>
      </w:r>
      <w:r w:rsidRPr="007A10A5">
        <w:rPr>
          <w:rFonts w:ascii="Times New Roman" w:eastAsia="Calibri" w:hAnsi="Times New Roman" w:cs="Times New Roman"/>
          <w:b/>
          <w:sz w:val="28"/>
          <w:szCs w:val="28"/>
          <w:lang w:val="kk-KZ" w:eastAsia="ru-RU"/>
        </w:rPr>
        <w:t> </w:t>
      </w:r>
      <w:r w:rsidRPr="007A10A5">
        <w:rPr>
          <w:rFonts w:ascii="Times New Roman" w:eastAsia="Calibri" w:hAnsi="Times New Roman" w:cs="Times New Roman"/>
          <w:b/>
          <w:sz w:val="28"/>
          <w:szCs w:val="28"/>
          <w:lang w:val="fr-FR" w:eastAsia="ru-RU"/>
        </w:rPr>
        <w:t>TRANSFORMATION ALIMENTAIRE (IFPA)</w:t>
      </w:r>
      <w:bookmarkEnd w:id="0"/>
    </w:p>
    <w:p w14:paraId="450DDD33" w14:textId="77777777" w:rsidR="00A56B01" w:rsidRPr="007A10A5" w:rsidRDefault="00A56B01" w:rsidP="007A10A5">
      <w:pPr>
        <w:spacing w:after="120" w:line="240" w:lineRule="auto"/>
        <w:rPr>
          <w:rFonts w:ascii="Times New Roman" w:hAnsi="Times New Roman" w:cs="Times New Roman"/>
          <w:b/>
          <w:bCs/>
          <w:sz w:val="28"/>
          <w:szCs w:val="28"/>
          <w:lang w:val="fr-FR"/>
        </w:rPr>
      </w:pPr>
    </w:p>
    <w:p w14:paraId="71251628" w14:textId="77777777" w:rsidR="00AA52FA" w:rsidRPr="007A10A5" w:rsidRDefault="00AA52FA" w:rsidP="007A10A5">
      <w:pPr>
        <w:spacing w:after="0" w:line="240" w:lineRule="auto"/>
        <w:jc w:val="both"/>
        <w:rPr>
          <w:rFonts w:ascii="Times New Roman" w:hAnsi="Times New Roman" w:cs="Times New Roman"/>
          <w:b/>
          <w:bCs/>
          <w:sz w:val="28"/>
          <w:szCs w:val="28"/>
          <w:lang w:val="fr-FR"/>
        </w:rPr>
      </w:pPr>
      <w:r w:rsidRPr="007A10A5">
        <w:rPr>
          <w:rFonts w:ascii="Times New Roman" w:hAnsi="Times New Roman" w:cs="Times New Roman"/>
          <w:b/>
          <w:bCs/>
          <w:sz w:val="28"/>
          <w:szCs w:val="28"/>
          <w:lang w:val="fr-FR"/>
        </w:rPr>
        <w:t>Introduction</w:t>
      </w:r>
    </w:p>
    <w:p w14:paraId="36CFFAF0" w14:textId="5F9BB5CE" w:rsidR="00AA52FA" w:rsidRPr="007A10A5" w:rsidRDefault="00AA52FA" w:rsidP="007A10A5">
      <w:pPr>
        <w:spacing w:line="240" w:lineRule="auto"/>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 xml:space="preserve">Le développement des agro-industries compétitives est crucial pour générer des emplois et générer des revenus dans la majorité des États membres de l'OISA, étant donné que plus de 52% des populations de l'OCI et même de l'OISA vivent dans des zones rurales et dépendent de l'agriculture. Potentiellement, l'agro-industrialisation présente des opportunités et des avantages précieux pour les pays de l'OCI, en termes de processus globaux d'industrialisation et de développement économique, de performances à l'exportation, de sécurité et de qualité des aliments. Cependant, le plein potentiel des agro-industries en tant que moteur du développement économique n'a pas encore été réalisé dans de nombreux pays de l'OCI. Ce potentiel pourrait être utilisé avantageusement pour atteindre plusieurs objectifs, tels que l'augmentation des revenus des agriculteurs, l'industrialisation rurale, l'emploi rural, des produits de meilleure qualité pour les consommateurs et même l'élimination des pertes après récolte. Ce dernier problème a continué de poser un grave problème au développement socio-économique des États membres de l'OISA.  </w:t>
      </w:r>
    </w:p>
    <w:p w14:paraId="6A6C2595" w14:textId="63DA8D25" w:rsidR="00A56B01" w:rsidRPr="007A10A5" w:rsidRDefault="00AA52FA" w:rsidP="007A10A5">
      <w:pPr>
        <w:spacing w:line="240" w:lineRule="auto"/>
        <w:jc w:val="both"/>
        <w:rPr>
          <w:rFonts w:ascii="Times New Roman" w:eastAsia="Calibri" w:hAnsi="Times New Roman" w:cs="Times New Roman"/>
          <w:sz w:val="28"/>
          <w:szCs w:val="28"/>
          <w:lang w:val="fr-FR" w:eastAsia="ru-RU"/>
        </w:rPr>
      </w:pPr>
      <w:r w:rsidRPr="007A10A5">
        <w:rPr>
          <w:rFonts w:ascii="Times New Roman" w:hAnsi="Times New Roman" w:cs="Times New Roman"/>
          <w:sz w:val="28"/>
          <w:szCs w:val="28"/>
          <w:lang w:val="fr-FR"/>
        </w:rPr>
        <w:t>2.</w:t>
      </w:r>
      <w:r w:rsidRPr="007A10A5">
        <w:rPr>
          <w:rFonts w:ascii="Times New Roman" w:hAnsi="Times New Roman" w:cs="Times New Roman"/>
          <w:sz w:val="28"/>
          <w:szCs w:val="28"/>
          <w:lang w:val="fr-FR"/>
        </w:rPr>
        <w:tab/>
        <w:t>Pour résoudre ces problèmes, le Forum sur le développement des industries agroalimentaires dans les États membres de l'OCI a été organisé à Kampala, en Ouganda, les 11 et 12 octobre 2011. Le Forum a recommandé, entre autres questions, la création d'une association agro-industrielle qui favoriserait l'agroalimentaire et une approche de la chaîne de valeur pour le développement agricole dans les pays de l'OCI</w:t>
      </w:r>
      <w:r w:rsidR="000B02BC" w:rsidRPr="007A10A5">
        <w:rPr>
          <w:rFonts w:ascii="Times New Roman" w:eastAsia="Calibri" w:hAnsi="Times New Roman" w:cs="Times New Roman"/>
          <w:sz w:val="28"/>
          <w:szCs w:val="28"/>
          <w:lang w:val="fr-FR" w:eastAsia="ru-RU"/>
        </w:rPr>
        <w:t>.</w:t>
      </w:r>
    </w:p>
    <w:p w14:paraId="51EAA57C" w14:textId="26A3F32F" w:rsidR="00A56B01" w:rsidRPr="007A10A5" w:rsidRDefault="00AA52FA" w:rsidP="007A10A5">
      <w:pPr>
        <w:spacing w:after="0" w:line="240" w:lineRule="auto"/>
        <w:rPr>
          <w:rFonts w:ascii="Times New Roman" w:eastAsia="Calibri" w:hAnsi="Times New Roman" w:cs="Times New Roman"/>
          <w:b/>
          <w:bCs/>
          <w:sz w:val="28"/>
          <w:szCs w:val="28"/>
          <w:u w:val="single"/>
          <w:lang w:val="fr-FR" w:eastAsia="ru-RU"/>
        </w:rPr>
      </w:pPr>
      <w:r w:rsidRPr="007A10A5">
        <w:rPr>
          <w:rFonts w:ascii="Times New Roman" w:hAnsi="Times New Roman" w:cs="Times New Roman"/>
          <w:b/>
          <w:bCs/>
          <w:sz w:val="28"/>
          <w:szCs w:val="28"/>
          <w:lang w:val="fr-FR"/>
        </w:rPr>
        <w:t>La justification de la création de l'A</w:t>
      </w:r>
      <w:r w:rsidRPr="007A10A5">
        <w:rPr>
          <w:rFonts w:ascii="Times New Roman" w:eastAsia="Calibri" w:hAnsi="Times New Roman" w:cs="Times New Roman"/>
          <w:b/>
          <w:bCs/>
          <w:sz w:val="28"/>
          <w:szCs w:val="28"/>
          <w:lang w:val="fr-FR" w:eastAsia="ru-RU"/>
        </w:rPr>
        <w:t>ssociation Islamique de</w:t>
      </w:r>
      <w:r w:rsidRPr="007A10A5">
        <w:rPr>
          <w:rFonts w:ascii="Times New Roman" w:eastAsia="Calibri" w:hAnsi="Times New Roman" w:cs="Times New Roman"/>
          <w:b/>
          <w:bCs/>
          <w:sz w:val="28"/>
          <w:szCs w:val="28"/>
          <w:lang w:val="kk-KZ" w:eastAsia="ru-RU"/>
        </w:rPr>
        <w:t> </w:t>
      </w:r>
      <w:r w:rsidRPr="007A10A5">
        <w:rPr>
          <w:rFonts w:ascii="Times New Roman" w:eastAsia="Calibri" w:hAnsi="Times New Roman" w:cs="Times New Roman"/>
          <w:b/>
          <w:bCs/>
          <w:sz w:val="28"/>
          <w:szCs w:val="28"/>
          <w:lang w:val="fr-FR" w:eastAsia="ru-RU"/>
        </w:rPr>
        <w:t>Transformation Alimentaire (</w:t>
      </w:r>
      <w:r w:rsidRPr="007A10A5">
        <w:rPr>
          <w:rFonts w:ascii="Times New Roman" w:hAnsi="Times New Roman" w:cs="Times New Roman"/>
          <w:b/>
          <w:bCs/>
          <w:sz w:val="28"/>
          <w:szCs w:val="28"/>
          <w:lang w:val="fr-FR"/>
        </w:rPr>
        <w:t>IFPA)</w:t>
      </w:r>
    </w:p>
    <w:p w14:paraId="4B5E7214" w14:textId="02A4574E" w:rsidR="00A56B01" w:rsidRPr="007A10A5" w:rsidRDefault="0059032D" w:rsidP="007A10A5">
      <w:pPr>
        <w:spacing w:after="0" w:line="240" w:lineRule="auto"/>
        <w:jc w:val="both"/>
        <w:rPr>
          <w:rFonts w:ascii="Times New Roman" w:eastAsia="Calibri" w:hAnsi="Times New Roman" w:cs="Times New Roman"/>
          <w:sz w:val="28"/>
          <w:szCs w:val="28"/>
          <w:lang w:val="fr-FR" w:eastAsia="ru-RU"/>
        </w:rPr>
      </w:pPr>
      <w:r>
        <w:rPr>
          <w:rFonts w:ascii="Times New Roman" w:eastAsia="Calibri" w:hAnsi="Times New Roman" w:cs="Times New Roman"/>
          <w:sz w:val="28"/>
          <w:szCs w:val="28"/>
          <w:lang w:val="fr-FR" w:eastAsia="ru-RU"/>
        </w:rPr>
        <w:t>3</w:t>
      </w:r>
      <w:r w:rsidR="000B02BC" w:rsidRPr="007A10A5">
        <w:rPr>
          <w:rFonts w:ascii="Times New Roman" w:eastAsia="Calibri" w:hAnsi="Times New Roman" w:cs="Times New Roman"/>
          <w:sz w:val="28"/>
          <w:szCs w:val="28"/>
          <w:lang w:val="fr-FR" w:eastAsia="ru-RU"/>
        </w:rPr>
        <w:t>.</w:t>
      </w:r>
      <w:r w:rsidR="000B02BC" w:rsidRPr="007A10A5">
        <w:rPr>
          <w:rFonts w:ascii="Times New Roman" w:eastAsia="Calibri" w:hAnsi="Times New Roman" w:cs="Times New Roman"/>
          <w:sz w:val="28"/>
          <w:szCs w:val="28"/>
          <w:lang w:val="fr-FR" w:eastAsia="ru-RU"/>
        </w:rPr>
        <w:tab/>
      </w:r>
      <w:r w:rsidR="00AA52FA" w:rsidRPr="007A10A5">
        <w:rPr>
          <w:rFonts w:ascii="Times New Roman" w:hAnsi="Times New Roman" w:cs="Times New Roman"/>
          <w:sz w:val="28"/>
          <w:szCs w:val="28"/>
          <w:lang w:val="fr-FR"/>
        </w:rPr>
        <w:t xml:space="preserve">Les recommandations du </w:t>
      </w:r>
      <w:r w:rsidR="003D7217" w:rsidRPr="007A10A5">
        <w:rPr>
          <w:rFonts w:ascii="Times New Roman" w:hAnsi="Times New Roman" w:cs="Times New Roman"/>
          <w:sz w:val="28"/>
          <w:szCs w:val="28"/>
          <w:lang w:val="fr-FR"/>
        </w:rPr>
        <w:t>F</w:t>
      </w:r>
      <w:r w:rsidR="00AA52FA" w:rsidRPr="007A10A5">
        <w:rPr>
          <w:rFonts w:ascii="Times New Roman" w:hAnsi="Times New Roman" w:cs="Times New Roman"/>
          <w:sz w:val="28"/>
          <w:szCs w:val="28"/>
          <w:lang w:val="fr-FR"/>
        </w:rPr>
        <w:t>orum tenu en Ouganda ont principalement porté sur les points suivants</w:t>
      </w:r>
      <w:r w:rsidR="000B02BC" w:rsidRPr="007A10A5">
        <w:rPr>
          <w:rFonts w:ascii="Times New Roman" w:eastAsia="Calibri" w:hAnsi="Times New Roman" w:cs="Times New Roman"/>
          <w:sz w:val="28"/>
          <w:szCs w:val="28"/>
          <w:lang w:val="fr-FR" w:eastAsia="ru-RU"/>
        </w:rPr>
        <w:t>:</w:t>
      </w:r>
    </w:p>
    <w:p w14:paraId="717198E2" w14:textId="77777777" w:rsidR="00AA52FA" w:rsidRPr="007A10A5" w:rsidRDefault="00AA52FA" w:rsidP="007A10A5">
      <w:pPr>
        <w:numPr>
          <w:ilvl w:val="0"/>
          <w:numId w:val="13"/>
        </w:numPr>
        <w:pBdr>
          <w:top w:val="nil"/>
          <w:left w:val="nil"/>
          <w:bottom w:val="nil"/>
          <w:right w:val="nil"/>
          <w:between w:val="nil"/>
        </w:pBdr>
        <w:spacing w:after="0" w:line="240" w:lineRule="auto"/>
        <w:ind w:hanging="720"/>
        <w:jc w:val="both"/>
        <w:rPr>
          <w:rFonts w:ascii="Times New Roman" w:hAnsi="Times New Roman" w:cs="Times New Roman"/>
          <w:color w:val="000000"/>
          <w:sz w:val="28"/>
          <w:szCs w:val="28"/>
          <w:lang w:val="fr-FR"/>
        </w:rPr>
      </w:pPr>
      <w:r w:rsidRPr="007A10A5">
        <w:rPr>
          <w:rFonts w:ascii="Times New Roman" w:hAnsi="Times New Roman" w:cs="Times New Roman"/>
          <w:color w:val="000000"/>
          <w:sz w:val="28"/>
          <w:szCs w:val="28"/>
          <w:lang w:val="fr-FR"/>
        </w:rPr>
        <w:t>Renforcer les investissements intra-OCI dans le secteur de la transformation agro-alimentaire et créer un fonds dédié au développement agro-industriel dans le cadre des guichets de financement existants de la BIsD pour le développement agricole;</w:t>
      </w:r>
    </w:p>
    <w:p w14:paraId="2E0314A8" w14:textId="77777777" w:rsidR="00AA52FA" w:rsidRPr="007A10A5" w:rsidRDefault="00AA52FA" w:rsidP="007A10A5">
      <w:pPr>
        <w:numPr>
          <w:ilvl w:val="0"/>
          <w:numId w:val="13"/>
        </w:numPr>
        <w:pBdr>
          <w:top w:val="nil"/>
          <w:left w:val="nil"/>
          <w:bottom w:val="nil"/>
          <w:right w:val="nil"/>
          <w:between w:val="nil"/>
        </w:pBdr>
        <w:spacing w:after="0" w:line="240" w:lineRule="auto"/>
        <w:ind w:hanging="720"/>
        <w:jc w:val="both"/>
        <w:rPr>
          <w:rFonts w:ascii="Times New Roman" w:hAnsi="Times New Roman" w:cs="Times New Roman"/>
          <w:color w:val="000000"/>
          <w:sz w:val="28"/>
          <w:szCs w:val="28"/>
          <w:lang w:val="fr-FR"/>
        </w:rPr>
      </w:pPr>
      <w:r w:rsidRPr="007A10A5">
        <w:rPr>
          <w:rFonts w:ascii="Times New Roman" w:hAnsi="Times New Roman" w:cs="Times New Roman"/>
          <w:color w:val="000000"/>
          <w:sz w:val="28"/>
          <w:szCs w:val="28"/>
          <w:lang w:val="fr-FR"/>
        </w:rPr>
        <w:lastRenderedPageBreak/>
        <w:t>Les gouvernements devraient encourager la création de plates-formes pour la participation populaire à la défense de la politique agricole et l’accès aux fonds d’investissement par la création de coopératives d’agriculteurs et de communautés agricoles formelles analogues;</w:t>
      </w:r>
    </w:p>
    <w:p w14:paraId="473C42EE" w14:textId="6E38ADDA" w:rsidR="00AA52FA" w:rsidRPr="007A10A5" w:rsidRDefault="003D7217" w:rsidP="007A10A5">
      <w:pPr>
        <w:numPr>
          <w:ilvl w:val="0"/>
          <w:numId w:val="13"/>
        </w:numPr>
        <w:pBdr>
          <w:top w:val="nil"/>
          <w:left w:val="nil"/>
          <w:bottom w:val="nil"/>
          <w:right w:val="nil"/>
          <w:between w:val="nil"/>
        </w:pBdr>
        <w:spacing w:after="0" w:line="240" w:lineRule="auto"/>
        <w:ind w:hanging="720"/>
        <w:jc w:val="both"/>
        <w:rPr>
          <w:rFonts w:ascii="Times New Roman" w:hAnsi="Times New Roman" w:cs="Times New Roman"/>
          <w:color w:val="000000"/>
          <w:sz w:val="28"/>
          <w:szCs w:val="28"/>
          <w:lang w:val="fr-FR"/>
        </w:rPr>
      </w:pPr>
      <w:r w:rsidRPr="007A10A5">
        <w:rPr>
          <w:rFonts w:ascii="Times New Roman" w:hAnsi="Times New Roman" w:cs="Times New Roman"/>
          <w:color w:val="000000"/>
          <w:sz w:val="28"/>
          <w:szCs w:val="28"/>
          <w:lang w:val="fr-FR"/>
        </w:rPr>
        <w:t>Répondre</w:t>
      </w:r>
      <w:r w:rsidR="00AA52FA" w:rsidRPr="007A10A5">
        <w:rPr>
          <w:rFonts w:ascii="Times New Roman" w:hAnsi="Times New Roman" w:cs="Times New Roman"/>
          <w:color w:val="000000"/>
          <w:sz w:val="28"/>
          <w:szCs w:val="28"/>
          <w:lang w:val="fr-FR"/>
        </w:rPr>
        <w:t xml:space="preserve"> aux contraintes d'intrants agricoles inadéquats en vulgarisant le micro-leasing et des mécanismes de financement similaires;</w:t>
      </w:r>
    </w:p>
    <w:p w14:paraId="6DE06C64" w14:textId="77777777" w:rsidR="00AA52FA" w:rsidRPr="007A10A5" w:rsidRDefault="00AA52FA" w:rsidP="007A10A5">
      <w:pPr>
        <w:numPr>
          <w:ilvl w:val="0"/>
          <w:numId w:val="13"/>
        </w:numPr>
        <w:pBdr>
          <w:top w:val="nil"/>
          <w:left w:val="nil"/>
          <w:bottom w:val="nil"/>
          <w:right w:val="nil"/>
          <w:between w:val="nil"/>
        </w:pBdr>
        <w:spacing w:after="0" w:line="240" w:lineRule="auto"/>
        <w:ind w:hanging="720"/>
        <w:jc w:val="both"/>
        <w:rPr>
          <w:rFonts w:ascii="Times New Roman" w:hAnsi="Times New Roman" w:cs="Times New Roman"/>
          <w:color w:val="000000"/>
          <w:sz w:val="28"/>
          <w:szCs w:val="28"/>
          <w:lang w:val="fr-FR"/>
        </w:rPr>
      </w:pPr>
      <w:r w:rsidRPr="007A10A5">
        <w:rPr>
          <w:rFonts w:ascii="Times New Roman" w:hAnsi="Times New Roman" w:cs="Times New Roman"/>
          <w:color w:val="000000"/>
          <w:sz w:val="28"/>
          <w:szCs w:val="28"/>
          <w:lang w:val="fr-FR"/>
        </w:rPr>
        <w:t>Assurer que les institutions de recherche, de vulgarisation, d’éducation et d’agriculture offrent des compétences qui répondent aux besoins des communautés agricoles, y compris la nécessité du transfert de ces technologies, qui sont appropriées et adaptées aux conditions et aux réalités de la population agricole;</w:t>
      </w:r>
    </w:p>
    <w:p w14:paraId="55AB208D" w14:textId="77777777" w:rsidR="00AA52FA" w:rsidRPr="007A10A5" w:rsidRDefault="00AA52FA" w:rsidP="007A10A5">
      <w:pPr>
        <w:numPr>
          <w:ilvl w:val="0"/>
          <w:numId w:val="13"/>
        </w:numPr>
        <w:pBdr>
          <w:top w:val="nil"/>
          <w:left w:val="nil"/>
          <w:bottom w:val="nil"/>
          <w:right w:val="nil"/>
          <w:between w:val="nil"/>
        </w:pBdr>
        <w:spacing w:after="0" w:line="240" w:lineRule="auto"/>
        <w:ind w:hanging="720"/>
        <w:jc w:val="both"/>
        <w:rPr>
          <w:rFonts w:ascii="Times New Roman" w:hAnsi="Times New Roman" w:cs="Times New Roman"/>
          <w:color w:val="000000"/>
          <w:sz w:val="28"/>
          <w:szCs w:val="28"/>
          <w:lang w:val="fr-FR"/>
        </w:rPr>
      </w:pPr>
      <w:r w:rsidRPr="007A10A5">
        <w:rPr>
          <w:rFonts w:ascii="Times New Roman" w:hAnsi="Times New Roman" w:cs="Times New Roman"/>
          <w:color w:val="000000"/>
          <w:sz w:val="28"/>
          <w:szCs w:val="28"/>
          <w:lang w:val="fr-FR"/>
        </w:rPr>
        <w:t>Effectuer une étude approfondie sur les modalités de création d'une association agro-industrielle au sein du système de l'OCI et déterminer les activités et priorités spécifiques du partenariat public-privé entre les différentes parties prenantes au sein du système de l'OCI pour la promotion du développement agro-industriel;</w:t>
      </w:r>
    </w:p>
    <w:p w14:paraId="210CB48A" w14:textId="77777777" w:rsidR="00AA52FA" w:rsidRPr="007A10A5" w:rsidRDefault="00AA52FA" w:rsidP="007A10A5">
      <w:pPr>
        <w:numPr>
          <w:ilvl w:val="0"/>
          <w:numId w:val="13"/>
        </w:numPr>
        <w:pBdr>
          <w:top w:val="nil"/>
          <w:left w:val="nil"/>
          <w:bottom w:val="nil"/>
          <w:right w:val="nil"/>
          <w:between w:val="nil"/>
        </w:pBdr>
        <w:spacing w:after="0" w:line="240" w:lineRule="auto"/>
        <w:ind w:hanging="720"/>
        <w:jc w:val="both"/>
        <w:rPr>
          <w:rFonts w:ascii="Times New Roman" w:hAnsi="Times New Roman" w:cs="Times New Roman"/>
          <w:color w:val="000000"/>
          <w:sz w:val="28"/>
          <w:szCs w:val="28"/>
          <w:lang w:val="fr-FR"/>
        </w:rPr>
      </w:pPr>
      <w:r w:rsidRPr="007A10A5">
        <w:rPr>
          <w:rFonts w:ascii="Times New Roman" w:hAnsi="Times New Roman" w:cs="Times New Roman"/>
          <w:color w:val="000000"/>
          <w:sz w:val="28"/>
          <w:szCs w:val="28"/>
          <w:lang w:val="fr-FR"/>
        </w:rPr>
        <w:t>Soutenir la recherche qui renforcera le développement des industries agroalimentaires dans les États membres de l'OCI; et</w:t>
      </w:r>
    </w:p>
    <w:p w14:paraId="6B07A027" w14:textId="72A17E46" w:rsidR="00A56B01" w:rsidRDefault="00AA52FA" w:rsidP="007A10A5">
      <w:pPr>
        <w:numPr>
          <w:ilvl w:val="0"/>
          <w:numId w:val="13"/>
        </w:numPr>
        <w:pBdr>
          <w:top w:val="nil"/>
          <w:left w:val="nil"/>
          <w:bottom w:val="nil"/>
          <w:right w:val="nil"/>
          <w:between w:val="nil"/>
        </w:pBdr>
        <w:spacing w:line="240" w:lineRule="auto"/>
        <w:ind w:hanging="720"/>
        <w:jc w:val="both"/>
        <w:rPr>
          <w:rFonts w:ascii="Times New Roman" w:hAnsi="Times New Roman" w:cs="Times New Roman"/>
          <w:color w:val="000000"/>
          <w:sz w:val="28"/>
          <w:szCs w:val="28"/>
          <w:lang w:val="fr-FR"/>
        </w:rPr>
      </w:pPr>
      <w:r w:rsidRPr="007A10A5">
        <w:rPr>
          <w:rFonts w:ascii="Times New Roman" w:hAnsi="Times New Roman" w:cs="Times New Roman"/>
          <w:color w:val="000000"/>
          <w:sz w:val="28"/>
          <w:szCs w:val="28"/>
          <w:lang w:val="fr-FR"/>
        </w:rPr>
        <w:t>Développer des mécanismes efficaces pour promouvoir l'accès au crédit et aux marchés dans le cadre du système de préférences commerciales de l'OCI (SPC-OCI)</w:t>
      </w:r>
      <w:r w:rsidR="000B02BC" w:rsidRPr="007A10A5">
        <w:rPr>
          <w:rFonts w:ascii="Times New Roman" w:hAnsi="Times New Roman" w:cs="Times New Roman"/>
          <w:color w:val="000000"/>
          <w:sz w:val="28"/>
          <w:szCs w:val="28"/>
          <w:lang w:val="fr-FR"/>
        </w:rPr>
        <w:t xml:space="preserve">. </w:t>
      </w:r>
    </w:p>
    <w:p w14:paraId="2C440D38" w14:textId="2655C0AE" w:rsidR="0059032D" w:rsidRPr="0059032D" w:rsidRDefault="0059032D" w:rsidP="0059032D">
      <w:pPr>
        <w:spacing w:before="120" w:after="0" w:line="240" w:lineRule="auto"/>
        <w:jc w:val="both"/>
        <w:rPr>
          <w:rFonts w:ascii="Times New Roman" w:eastAsia="Calibri" w:hAnsi="Times New Roman" w:cs="Times New Roman"/>
          <w:sz w:val="28"/>
          <w:szCs w:val="28"/>
          <w:lang w:val="fr-FR" w:eastAsia="ru-RU"/>
        </w:rPr>
      </w:pPr>
      <w:r>
        <w:rPr>
          <w:rFonts w:ascii="Times New Roman" w:eastAsia="Calibri" w:hAnsi="Times New Roman" w:cs="Times New Roman"/>
          <w:sz w:val="28"/>
          <w:szCs w:val="28"/>
          <w:lang w:val="fr-FR" w:eastAsia="ru-RU"/>
        </w:rPr>
        <w:t>4</w:t>
      </w:r>
      <w:r w:rsidRPr="0059032D">
        <w:rPr>
          <w:rFonts w:ascii="Times New Roman" w:eastAsia="Calibri" w:hAnsi="Times New Roman" w:cs="Times New Roman"/>
          <w:sz w:val="28"/>
          <w:szCs w:val="28"/>
          <w:lang w:val="fr-FR" w:eastAsia="ru-RU"/>
        </w:rPr>
        <w:t>.</w:t>
      </w:r>
      <w:r w:rsidRPr="0059032D">
        <w:rPr>
          <w:rFonts w:ascii="Times New Roman" w:eastAsia="Calibri" w:hAnsi="Times New Roman" w:cs="Times New Roman"/>
          <w:sz w:val="28"/>
          <w:szCs w:val="28"/>
          <w:lang w:val="fr-FR" w:eastAsia="ru-RU"/>
        </w:rPr>
        <w:tab/>
      </w:r>
      <w:r w:rsidRPr="0059032D">
        <w:rPr>
          <w:rFonts w:ascii="Times New Roman" w:hAnsi="Times New Roman" w:cs="Times New Roman"/>
          <w:sz w:val="28"/>
          <w:szCs w:val="28"/>
          <w:lang w:val="fr-FR"/>
        </w:rPr>
        <w:t>Dans le cadre des différentes démarches de l'OCI sur la prévention des pertes après récolte et la mise au point d'un mécanisme intra-OCI pour le développement d'une chaîne de valeur du secteur agro-alimentaire, une réunion consultative s'est également tenue à Mascate, Sultanat d'Oman, le 14 Mai 2013</w:t>
      </w:r>
      <w:r w:rsidRPr="0059032D">
        <w:rPr>
          <w:rFonts w:ascii="Times New Roman" w:eastAsia="Calibri" w:hAnsi="Times New Roman" w:cs="Times New Roman"/>
          <w:sz w:val="28"/>
          <w:szCs w:val="28"/>
          <w:lang w:val="fr-FR" w:eastAsia="ru-RU"/>
        </w:rPr>
        <w:t>.</w:t>
      </w:r>
    </w:p>
    <w:p w14:paraId="1E97DD8C" w14:textId="198B795E" w:rsidR="00A56B01" w:rsidRPr="007A10A5" w:rsidRDefault="000B02BC" w:rsidP="0059032D">
      <w:pPr>
        <w:spacing w:before="120" w:after="0" w:line="240" w:lineRule="auto"/>
        <w:jc w:val="both"/>
        <w:rPr>
          <w:rFonts w:ascii="Times New Roman" w:eastAsia="Calibri" w:hAnsi="Times New Roman" w:cs="Times New Roman"/>
          <w:sz w:val="28"/>
          <w:szCs w:val="28"/>
          <w:lang w:val="fr-FR" w:eastAsia="ru-RU"/>
        </w:rPr>
      </w:pPr>
      <w:r w:rsidRPr="007A10A5">
        <w:rPr>
          <w:rFonts w:ascii="Times New Roman" w:eastAsia="Calibri" w:hAnsi="Times New Roman" w:cs="Times New Roman"/>
          <w:sz w:val="28"/>
          <w:szCs w:val="28"/>
          <w:lang w:val="fr-FR" w:eastAsia="ru-RU"/>
        </w:rPr>
        <w:t>5.</w:t>
      </w:r>
      <w:r w:rsidRPr="007A10A5">
        <w:rPr>
          <w:rFonts w:ascii="Times New Roman" w:eastAsia="Calibri" w:hAnsi="Times New Roman" w:cs="Times New Roman"/>
          <w:sz w:val="28"/>
          <w:szCs w:val="28"/>
          <w:lang w:val="fr-FR" w:eastAsia="ru-RU"/>
        </w:rPr>
        <w:tab/>
      </w:r>
      <w:r w:rsidR="00AA52FA" w:rsidRPr="007A10A5">
        <w:rPr>
          <w:rFonts w:ascii="Times New Roman" w:hAnsi="Times New Roman" w:cs="Times New Roman"/>
          <w:sz w:val="28"/>
          <w:szCs w:val="28"/>
          <w:lang w:val="fr-FR"/>
        </w:rPr>
        <w:t>De même, la réunion consultative de Mascate sur cette question</w:t>
      </w:r>
      <w:r w:rsidRPr="007A10A5">
        <w:rPr>
          <w:rFonts w:ascii="Times New Roman" w:eastAsia="Calibri" w:hAnsi="Times New Roman" w:cs="Times New Roman"/>
          <w:sz w:val="28"/>
          <w:szCs w:val="28"/>
          <w:lang w:val="fr-FR" w:eastAsia="ru-RU"/>
        </w:rPr>
        <w:t>:</w:t>
      </w:r>
    </w:p>
    <w:p w14:paraId="0937E545" w14:textId="77777777" w:rsidR="00AA52FA" w:rsidRPr="007A10A5" w:rsidRDefault="00AA52FA" w:rsidP="007A10A5">
      <w:pPr>
        <w:pStyle w:val="a3"/>
        <w:numPr>
          <w:ilvl w:val="0"/>
          <w:numId w:val="14"/>
        </w:numPr>
        <w:spacing w:after="0" w:line="240" w:lineRule="auto"/>
        <w:ind w:hanging="720"/>
        <w:contextualSpacing w:val="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a examiné les diverses présentations faites sur les activités liées au mandat de l’association proposée. Ils ont particulièrement mis l'accent sur la nécessité d'un solide soutien du secteur privé pour les divers programmes et activités de l'OCI;</w:t>
      </w:r>
    </w:p>
    <w:p w14:paraId="406346C8" w14:textId="36EFBEDC" w:rsidR="00AA52FA" w:rsidRPr="007A10A5" w:rsidRDefault="00AA52FA" w:rsidP="007A10A5">
      <w:pPr>
        <w:pStyle w:val="a3"/>
        <w:numPr>
          <w:ilvl w:val="0"/>
          <w:numId w:val="14"/>
        </w:numPr>
        <w:spacing w:after="0" w:line="240" w:lineRule="auto"/>
        <w:ind w:hanging="720"/>
        <w:contextualSpacing w:val="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a pris note du projet de statut de l'Association des industries agroalimentaires et a remercié les États membres suivants qui ont pu faire part de leurs précieux commentaires et de leurs retours sur le projet de correspondance et d'autres correspondances sur la question: Afghanistan, Azerbaïdjan, Bangladesh , Cameroun, Iraq, Jordanie, Koweït, Liban, Libye, Niger, Oman, Pakistan, Qatar, Arabie Saoudite, Sénégal, Soudan, Turquie et Émirats arabes unis; et</w:t>
      </w:r>
    </w:p>
    <w:p w14:paraId="250A8EC2" w14:textId="29FE3508" w:rsidR="00A56B01" w:rsidRPr="007A10A5" w:rsidRDefault="00AA52FA" w:rsidP="007A10A5">
      <w:pPr>
        <w:pStyle w:val="a3"/>
        <w:numPr>
          <w:ilvl w:val="0"/>
          <w:numId w:val="14"/>
        </w:numPr>
        <w:spacing w:line="240" w:lineRule="auto"/>
        <w:ind w:hanging="720"/>
        <w:contextualSpacing w:val="0"/>
        <w:jc w:val="both"/>
        <w:rPr>
          <w:rFonts w:ascii="Times New Roman" w:eastAsia="Calibri" w:hAnsi="Times New Roman" w:cs="Times New Roman"/>
          <w:sz w:val="28"/>
          <w:szCs w:val="28"/>
          <w:lang w:val="fr-FR" w:eastAsia="ru-RU"/>
        </w:rPr>
      </w:pPr>
      <w:r w:rsidRPr="007A10A5">
        <w:rPr>
          <w:rFonts w:ascii="Times New Roman" w:hAnsi="Times New Roman" w:cs="Times New Roman"/>
          <w:sz w:val="28"/>
          <w:szCs w:val="28"/>
          <w:lang w:val="fr-FR"/>
        </w:rPr>
        <w:t>a formulé d’autres observations sur le projet de statut et a recommandé qu’il soit largement diffusé afin que les autres parties prenantes puissent formuler leurs observations et enrichir son contenu. Le Secrétariat général a pris note avec satisfaction des observations utiles et détaillées sur le projet de statut formulées par les délégués de l'Arabie saoudite et du Soudan</w:t>
      </w:r>
      <w:r w:rsidR="000B02BC" w:rsidRPr="007A10A5">
        <w:rPr>
          <w:rFonts w:ascii="Times New Roman" w:eastAsia="Calibri" w:hAnsi="Times New Roman" w:cs="Times New Roman"/>
          <w:sz w:val="28"/>
          <w:szCs w:val="28"/>
          <w:lang w:val="fr-FR" w:eastAsia="ru-RU"/>
        </w:rPr>
        <w:t xml:space="preserve">. </w:t>
      </w:r>
    </w:p>
    <w:p w14:paraId="21136F5D" w14:textId="6825D732" w:rsidR="00A56B01" w:rsidRPr="007A10A5" w:rsidRDefault="000B02BC" w:rsidP="007A10A5">
      <w:pPr>
        <w:spacing w:line="240" w:lineRule="auto"/>
        <w:jc w:val="both"/>
        <w:rPr>
          <w:rFonts w:ascii="Times New Roman" w:eastAsia="Calibri" w:hAnsi="Times New Roman" w:cs="Times New Roman"/>
          <w:sz w:val="28"/>
          <w:szCs w:val="28"/>
          <w:lang w:val="fr-FR" w:eastAsia="ru-RU"/>
        </w:rPr>
      </w:pPr>
      <w:r w:rsidRPr="007A10A5">
        <w:rPr>
          <w:rFonts w:ascii="Times New Roman" w:eastAsia="Calibri" w:hAnsi="Times New Roman" w:cs="Times New Roman"/>
          <w:sz w:val="28"/>
          <w:szCs w:val="28"/>
          <w:lang w:val="fr-FR" w:eastAsia="ru-RU"/>
        </w:rPr>
        <w:t>6.</w:t>
      </w:r>
      <w:r w:rsidRPr="007A10A5">
        <w:rPr>
          <w:rFonts w:ascii="Times New Roman" w:eastAsia="Calibri" w:hAnsi="Times New Roman" w:cs="Times New Roman"/>
          <w:sz w:val="28"/>
          <w:szCs w:val="28"/>
          <w:lang w:val="fr-FR" w:eastAsia="ru-RU"/>
        </w:rPr>
        <w:tab/>
      </w:r>
      <w:r w:rsidR="00AA52FA" w:rsidRPr="007A10A5">
        <w:rPr>
          <w:rFonts w:ascii="Times New Roman" w:hAnsi="Times New Roman" w:cs="Times New Roman"/>
          <w:sz w:val="28"/>
          <w:szCs w:val="28"/>
          <w:lang w:val="fr-FR"/>
        </w:rPr>
        <w:t>Ayant eu un débat animé et un examen approfondi du rapport de base, du projet de statut et des exposés, la réunion a formulé les recommandations suivantes</w:t>
      </w:r>
      <w:r w:rsidRPr="007A10A5">
        <w:rPr>
          <w:rFonts w:ascii="Times New Roman" w:eastAsia="Calibri" w:hAnsi="Times New Roman" w:cs="Times New Roman"/>
          <w:sz w:val="28"/>
          <w:szCs w:val="28"/>
          <w:lang w:val="fr-FR" w:eastAsia="ru-RU"/>
        </w:rPr>
        <w:t xml:space="preserve">: </w:t>
      </w:r>
    </w:p>
    <w:p w14:paraId="652ED568" w14:textId="77777777" w:rsidR="00AA52FA" w:rsidRPr="007A10A5" w:rsidRDefault="00AA52FA" w:rsidP="007A10A5">
      <w:pPr>
        <w:pStyle w:val="a3"/>
        <w:numPr>
          <w:ilvl w:val="0"/>
          <w:numId w:val="14"/>
        </w:numPr>
        <w:spacing w:after="0" w:line="240" w:lineRule="auto"/>
        <w:ind w:hanging="720"/>
        <w:contextualSpacing w:val="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lastRenderedPageBreak/>
        <w:t xml:space="preserve">Poursuivre les efforts déployés par le Secrétariat général pour assurer que les objectifs énoncés dans le projet de statut de l'Association soient atteints.  </w:t>
      </w:r>
    </w:p>
    <w:p w14:paraId="50BDF243" w14:textId="08423BC7" w:rsidR="00AA52FA" w:rsidRPr="007A10A5" w:rsidRDefault="00AA52FA" w:rsidP="007A10A5">
      <w:pPr>
        <w:pStyle w:val="a3"/>
        <w:numPr>
          <w:ilvl w:val="0"/>
          <w:numId w:val="14"/>
        </w:numPr>
        <w:spacing w:after="0" w:line="240" w:lineRule="auto"/>
        <w:ind w:hanging="720"/>
        <w:contextualSpacing w:val="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Etablir immédiatement un groupe de courrier électronique parmi les parties prenantes pour enrichir le projet de statut et planifier les activités futures.</w:t>
      </w:r>
    </w:p>
    <w:p w14:paraId="4AEE4A1A" w14:textId="2D85B6C9" w:rsidR="00A56B01" w:rsidRPr="007A10A5" w:rsidRDefault="00AA52FA" w:rsidP="007A10A5">
      <w:pPr>
        <w:pStyle w:val="a3"/>
        <w:numPr>
          <w:ilvl w:val="0"/>
          <w:numId w:val="14"/>
        </w:numPr>
        <w:spacing w:after="0" w:line="240" w:lineRule="auto"/>
        <w:ind w:hanging="720"/>
        <w:contextualSpacing w:val="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Traiter les problèmes critiques de transfert de technologie, de recherche et de mise en réseau des entités du secteur privé en vue d'accroître la productivité et la compétitivité des États membres de l'OCI dans le domaine des agro-industries</w:t>
      </w:r>
      <w:r w:rsidR="00302133" w:rsidRPr="007A10A5">
        <w:rPr>
          <w:rFonts w:ascii="Times New Roman" w:hAnsi="Times New Roman" w:cs="Times New Roman"/>
          <w:sz w:val="28"/>
          <w:szCs w:val="28"/>
          <w:lang w:val="fr-FR"/>
        </w:rPr>
        <w:t>;</w:t>
      </w:r>
    </w:p>
    <w:p w14:paraId="329D9419" w14:textId="49B3BBA3" w:rsidR="00A56B01" w:rsidRPr="007A10A5" w:rsidRDefault="00AA52FA" w:rsidP="007A10A5">
      <w:pPr>
        <w:pStyle w:val="a3"/>
        <w:numPr>
          <w:ilvl w:val="0"/>
          <w:numId w:val="14"/>
        </w:numPr>
        <w:spacing w:line="240" w:lineRule="auto"/>
        <w:ind w:hanging="720"/>
        <w:contextualSpacing w:val="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Reviser l</w:t>
      </w:r>
      <w:r w:rsidR="00BF0C8A" w:rsidRPr="007A10A5">
        <w:rPr>
          <w:rFonts w:ascii="Times New Roman" w:hAnsi="Times New Roman" w:cs="Times New Roman"/>
          <w:sz w:val="28"/>
          <w:szCs w:val="28"/>
          <w:lang w:val="fr-FR"/>
        </w:rPr>
        <w:t>’Avant-p</w:t>
      </w:r>
      <w:r w:rsidRPr="007A10A5">
        <w:rPr>
          <w:rFonts w:ascii="Times New Roman" w:hAnsi="Times New Roman" w:cs="Times New Roman"/>
          <w:sz w:val="28"/>
          <w:szCs w:val="28"/>
          <w:lang w:val="fr-FR"/>
        </w:rPr>
        <w:t>rojet de Statut / Articles de l'IFPA</w:t>
      </w:r>
      <w:r w:rsidR="00302133" w:rsidRPr="007A10A5">
        <w:rPr>
          <w:rFonts w:ascii="Times New Roman" w:hAnsi="Times New Roman" w:cs="Times New Roman"/>
          <w:sz w:val="28"/>
          <w:szCs w:val="28"/>
          <w:lang w:val="fr-FR"/>
        </w:rPr>
        <w:t>.</w:t>
      </w:r>
    </w:p>
    <w:p w14:paraId="4F018DA4" w14:textId="63556714" w:rsidR="004E5B5F" w:rsidRPr="007A10A5" w:rsidRDefault="00AA52FA" w:rsidP="007A10A5">
      <w:pPr>
        <w:spacing w:after="0" w:line="240" w:lineRule="auto"/>
        <w:jc w:val="both"/>
        <w:rPr>
          <w:rFonts w:ascii="Times New Roman" w:eastAsia="Calibri" w:hAnsi="Times New Roman" w:cs="Times New Roman"/>
          <w:b/>
          <w:bCs/>
          <w:sz w:val="28"/>
          <w:szCs w:val="28"/>
          <w:lang w:val="fr-FR" w:eastAsia="ru-RU"/>
        </w:rPr>
      </w:pPr>
      <w:r w:rsidRPr="007A10A5">
        <w:rPr>
          <w:rFonts w:ascii="Times New Roman" w:eastAsia="Calibri" w:hAnsi="Times New Roman" w:cs="Times New Roman"/>
          <w:b/>
          <w:bCs/>
          <w:sz w:val="28"/>
          <w:szCs w:val="28"/>
          <w:lang w:val="fr-FR" w:eastAsia="ru-RU"/>
        </w:rPr>
        <w:t>Commentaires des États membres de l'OCI / OISA</w:t>
      </w:r>
    </w:p>
    <w:p w14:paraId="38BE29B3" w14:textId="20C617A0" w:rsidR="00B03373" w:rsidRPr="007A10A5" w:rsidRDefault="000B02BC" w:rsidP="007A10A5">
      <w:pPr>
        <w:spacing w:line="240" w:lineRule="auto"/>
        <w:jc w:val="both"/>
        <w:rPr>
          <w:rFonts w:ascii="Times New Roman" w:eastAsia="Calibri" w:hAnsi="Times New Roman" w:cs="Times New Roman"/>
          <w:sz w:val="28"/>
          <w:szCs w:val="28"/>
          <w:lang w:val="fr-FR" w:eastAsia="ru-RU"/>
        </w:rPr>
      </w:pPr>
      <w:r w:rsidRPr="007A10A5">
        <w:rPr>
          <w:rFonts w:ascii="Times New Roman" w:eastAsia="Calibri" w:hAnsi="Times New Roman" w:cs="Times New Roman"/>
          <w:sz w:val="28"/>
          <w:szCs w:val="28"/>
          <w:lang w:val="fr-FR" w:eastAsia="ru-RU"/>
        </w:rPr>
        <w:t>7.</w:t>
      </w:r>
      <w:r w:rsidR="007A10A5">
        <w:rPr>
          <w:rFonts w:ascii="Times New Roman" w:eastAsia="Calibri" w:hAnsi="Times New Roman" w:cs="Times New Roman"/>
          <w:sz w:val="28"/>
          <w:szCs w:val="28"/>
          <w:lang w:val="fr-FR" w:eastAsia="ru-RU"/>
        </w:rPr>
        <w:tab/>
      </w:r>
      <w:r w:rsidR="00762CB6" w:rsidRPr="007A10A5">
        <w:rPr>
          <w:rFonts w:ascii="Times New Roman" w:eastAsia="Calibri" w:hAnsi="Times New Roman" w:cs="Times New Roman"/>
          <w:sz w:val="28"/>
          <w:szCs w:val="28"/>
          <w:lang w:val="fr-FR" w:eastAsia="ru-RU"/>
        </w:rPr>
        <w:t>Conformément à la deuxième résolution de l'Assemblée Générale N° IOFS / GA / 1-14-2019 sur la réduction des pertes après récolte et l'activation de la coopération transfrontalière interentreprises par la création de l'IFPA, une note verbale comprenant la Note conceptuelle de l'IFPA a été envoyée à tous les pays membres de l'OCI / OISA pour connaître leurs recommandations. Des réponses complètes ont été reçues d'associations / syndicats, de chambres et de ministères de l'agriculture de plus de 11 pays membres</w:t>
      </w:r>
      <w:r w:rsidR="00AF1ABC" w:rsidRPr="007A10A5">
        <w:rPr>
          <w:rFonts w:ascii="Times New Roman" w:eastAsia="Calibri" w:hAnsi="Times New Roman" w:cs="Times New Roman"/>
          <w:sz w:val="28"/>
          <w:szCs w:val="28"/>
          <w:lang w:val="fr-FR" w:eastAsia="ru-RU"/>
        </w:rPr>
        <w:t>.</w:t>
      </w:r>
    </w:p>
    <w:p w14:paraId="3E04B97F" w14:textId="219261D5" w:rsidR="004E5B5F" w:rsidRPr="007A10A5" w:rsidRDefault="00762CB6" w:rsidP="007A10A5">
      <w:pPr>
        <w:spacing w:after="0" w:line="240" w:lineRule="auto"/>
        <w:jc w:val="both"/>
        <w:rPr>
          <w:rFonts w:ascii="Times New Roman" w:eastAsia="Calibri" w:hAnsi="Times New Roman" w:cs="Times New Roman"/>
          <w:b/>
          <w:bCs/>
          <w:sz w:val="28"/>
          <w:szCs w:val="28"/>
          <w:lang w:val="fr-FR" w:eastAsia="ru-RU"/>
        </w:rPr>
      </w:pPr>
      <w:r w:rsidRPr="007A10A5">
        <w:rPr>
          <w:rFonts w:ascii="Times New Roman" w:eastAsia="Calibri" w:hAnsi="Times New Roman" w:cs="Times New Roman"/>
          <w:b/>
          <w:bCs/>
          <w:sz w:val="28"/>
          <w:szCs w:val="28"/>
          <w:lang w:val="fr-FR" w:eastAsia="ru-RU"/>
        </w:rPr>
        <w:t>Soutien des institutions de l'OCI</w:t>
      </w:r>
      <w:r w:rsidR="007D41EA" w:rsidRPr="007A10A5">
        <w:rPr>
          <w:rFonts w:ascii="Times New Roman" w:eastAsia="Calibri" w:hAnsi="Times New Roman" w:cs="Times New Roman"/>
          <w:b/>
          <w:bCs/>
          <w:sz w:val="28"/>
          <w:szCs w:val="28"/>
          <w:lang w:val="fr-FR" w:eastAsia="ru-RU"/>
        </w:rPr>
        <w:t xml:space="preserve"> </w:t>
      </w:r>
    </w:p>
    <w:p w14:paraId="45C285C9" w14:textId="79A6046A" w:rsidR="00762CB6" w:rsidRPr="007A10A5" w:rsidRDefault="007A10A5" w:rsidP="007A10A5">
      <w:pPr>
        <w:spacing w:line="240" w:lineRule="auto"/>
        <w:jc w:val="both"/>
        <w:rPr>
          <w:rFonts w:ascii="Times New Roman" w:eastAsia="Calibri" w:hAnsi="Times New Roman" w:cs="Times New Roman"/>
          <w:sz w:val="28"/>
          <w:szCs w:val="28"/>
          <w:lang w:val="fr-FR" w:eastAsia="ru-RU"/>
        </w:rPr>
      </w:pPr>
      <w:r>
        <w:rPr>
          <w:rFonts w:ascii="Times New Roman" w:eastAsia="Calibri" w:hAnsi="Times New Roman" w:cs="Times New Roman"/>
          <w:sz w:val="28"/>
          <w:szCs w:val="28"/>
          <w:lang w:val="fr-FR" w:eastAsia="ru-RU"/>
        </w:rPr>
        <w:t>8.</w:t>
      </w:r>
      <w:r>
        <w:rPr>
          <w:rFonts w:ascii="Times New Roman" w:eastAsia="Calibri" w:hAnsi="Times New Roman" w:cs="Times New Roman"/>
          <w:sz w:val="28"/>
          <w:szCs w:val="28"/>
          <w:lang w:val="fr-FR" w:eastAsia="ru-RU"/>
        </w:rPr>
        <w:tab/>
      </w:r>
      <w:r w:rsidR="00762CB6" w:rsidRPr="007A10A5">
        <w:rPr>
          <w:rFonts w:ascii="Times New Roman" w:eastAsia="Calibri" w:hAnsi="Times New Roman" w:cs="Times New Roman"/>
          <w:sz w:val="28"/>
          <w:szCs w:val="28"/>
          <w:lang w:val="fr-FR" w:eastAsia="ru-RU"/>
        </w:rPr>
        <w:t>Un accord stratégique a été signé avec le Groupe de la Banque Islamique de Développement (BID), tel que la SID, l'ITFC et l'ICIEC, qui comprenait le développement de l'IFPA. La BID joue un rôle important dans l'institutionnalisation de l'OISA, apportant un soutien essentiel à ses diverses activités et initiatives.</w:t>
      </w:r>
    </w:p>
    <w:p w14:paraId="17F99FFB" w14:textId="198F2EAB" w:rsidR="001E12A4" w:rsidRPr="007A10A5" w:rsidRDefault="007A10A5" w:rsidP="007A10A5">
      <w:pPr>
        <w:spacing w:line="240" w:lineRule="auto"/>
        <w:jc w:val="both"/>
        <w:rPr>
          <w:rFonts w:ascii="Times New Roman" w:hAnsi="Times New Roman" w:cs="Times New Roman"/>
          <w:sz w:val="28"/>
          <w:szCs w:val="28"/>
          <w:lang w:val="fr-FR"/>
        </w:rPr>
      </w:pPr>
      <w:r>
        <w:rPr>
          <w:rFonts w:ascii="Times New Roman" w:eastAsia="Calibri" w:hAnsi="Times New Roman" w:cs="Times New Roman"/>
          <w:sz w:val="28"/>
          <w:szCs w:val="28"/>
          <w:lang w:val="fr-FR" w:eastAsia="ru-RU"/>
        </w:rPr>
        <w:t>9.</w:t>
      </w:r>
      <w:r>
        <w:rPr>
          <w:rFonts w:ascii="Times New Roman" w:eastAsia="Calibri" w:hAnsi="Times New Roman" w:cs="Times New Roman"/>
          <w:sz w:val="28"/>
          <w:szCs w:val="28"/>
          <w:lang w:val="fr-FR" w:eastAsia="ru-RU"/>
        </w:rPr>
        <w:tab/>
      </w:r>
      <w:r w:rsidR="00762CB6" w:rsidRPr="007A10A5">
        <w:rPr>
          <w:rFonts w:ascii="Times New Roman" w:eastAsia="Calibri" w:hAnsi="Times New Roman" w:cs="Times New Roman"/>
          <w:sz w:val="28"/>
          <w:szCs w:val="28"/>
          <w:lang w:val="fr-FR" w:eastAsia="ru-RU"/>
        </w:rPr>
        <w:t>L'OISA et la CICIA ont signé un Plan d'action conjoint pour la sécurité alimentaire durable afin de développer l'industrie alimentaire en développant un marché alimentaire unique à valeur ajoutée dans les pays de l'OISA / OCI en créant des conditions favorables pour l'expansion du commerce intra-OCI financement / investissement et augmentation des exportations et importations</w:t>
      </w:r>
      <w:r w:rsidR="0087595A" w:rsidRPr="007A10A5">
        <w:rPr>
          <w:rFonts w:ascii="Times New Roman" w:eastAsia="Calibri" w:hAnsi="Times New Roman" w:cs="Times New Roman"/>
          <w:sz w:val="28"/>
          <w:szCs w:val="28"/>
          <w:lang w:val="fr-FR" w:eastAsia="ru-RU"/>
        </w:rPr>
        <w:t>.</w:t>
      </w:r>
    </w:p>
    <w:p w14:paraId="5C54A45B" w14:textId="17233E04" w:rsidR="00EF6161" w:rsidRPr="007A10A5" w:rsidRDefault="00762CB6" w:rsidP="007A10A5">
      <w:pPr>
        <w:spacing w:after="0" w:line="240" w:lineRule="auto"/>
        <w:jc w:val="both"/>
        <w:rPr>
          <w:rFonts w:ascii="Times New Roman" w:eastAsia="Calibri" w:hAnsi="Times New Roman" w:cs="Times New Roman"/>
          <w:b/>
          <w:bCs/>
          <w:sz w:val="28"/>
          <w:szCs w:val="28"/>
          <w:lang w:val="fr-FR" w:eastAsia="ru-RU"/>
        </w:rPr>
      </w:pPr>
      <w:r w:rsidRPr="007A10A5">
        <w:rPr>
          <w:rFonts w:ascii="Times New Roman" w:eastAsia="Calibri" w:hAnsi="Times New Roman" w:cs="Times New Roman"/>
          <w:b/>
          <w:bCs/>
          <w:sz w:val="28"/>
          <w:szCs w:val="28"/>
          <w:lang w:val="fr-FR" w:eastAsia="ru-RU"/>
        </w:rPr>
        <w:t>Activités de l'OISA sur la promotion de l'IFPA</w:t>
      </w:r>
    </w:p>
    <w:p w14:paraId="79EFB992" w14:textId="2D115C73" w:rsidR="00762CB6" w:rsidRPr="007A10A5" w:rsidRDefault="007A10A5" w:rsidP="007A10A5">
      <w:pPr>
        <w:spacing w:after="0" w:line="240" w:lineRule="auto"/>
        <w:jc w:val="both"/>
        <w:rPr>
          <w:rFonts w:ascii="Times New Roman" w:eastAsia="Calibri" w:hAnsi="Times New Roman" w:cs="Times New Roman"/>
          <w:sz w:val="28"/>
          <w:szCs w:val="28"/>
          <w:lang w:val="fr-FR" w:eastAsia="ru-RU"/>
        </w:rPr>
      </w:pPr>
      <w:r>
        <w:rPr>
          <w:rFonts w:ascii="Times New Roman" w:eastAsia="Calibri" w:hAnsi="Times New Roman" w:cs="Times New Roman"/>
          <w:sz w:val="28"/>
          <w:szCs w:val="28"/>
          <w:lang w:val="fr-FR" w:eastAsia="ru-RU"/>
        </w:rPr>
        <w:t>10.</w:t>
      </w:r>
      <w:r>
        <w:rPr>
          <w:rFonts w:ascii="Times New Roman" w:eastAsia="Calibri" w:hAnsi="Times New Roman" w:cs="Times New Roman"/>
          <w:sz w:val="28"/>
          <w:szCs w:val="28"/>
          <w:lang w:val="fr-FR" w:eastAsia="ru-RU"/>
        </w:rPr>
        <w:tab/>
      </w:r>
      <w:r w:rsidR="00762CB6" w:rsidRPr="007A10A5">
        <w:rPr>
          <w:rFonts w:ascii="Times New Roman" w:eastAsia="Calibri" w:hAnsi="Times New Roman" w:cs="Times New Roman"/>
          <w:sz w:val="28"/>
          <w:szCs w:val="28"/>
          <w:lang w:val="fr-FR" w:eastAsia="ru-RU"/>
        </w:rPr>
        <w:t>Le 28 mai 2020, l'OISA a organisé une conférence en ligne intitulée «IFPA: Promotion des exportations et opportunités d'investissement» avec la participation du secteur alimentaire privé du Kazakhstan. La conférence en ligne a réuni des représentants de 30 entreprises privées et associations / syndicats spécialisés du secteur alimentaire du Kazakhstan.</w:t>
      </w:r>
    </w:p>
    <w:p w14:paraId="7CAF1CFB" w14:textId="77777777" w:rsidR="00762CB6" w:rsidRPr="007A10A5" w:rsidRDefault="00762CB6" w:rsidP="007A10A5">
      <w:pPr>
        <w:spacing w:after="120" w:line="240" w:lineRule="auto"/>
        <w:jc w:val="both"/>
        <w:rPr>
          <w:rFonts w:ascii="Times New Roman" w:eastAsia="Calibri" w:hAnsi="Times New Roman" w:cs="Times New Roman"/>
          <w:sz w:val="28"/>
          <w:szCs w:val="28"/>
          <w:lang w:val="fr-FR" w:eastAsia="ru-RU"/>
        </w:rPr>
      </w:pPr>
      <w:r w:rsidRPr="007A10A5">
        <w:rPr>
          <w:rFonts w:ascii="Times New Roman" w:eastAsia="Calibri" w:hAnsi="Times New Roman" w:cs="Times New Roman"/>
          <w:sz w:val="28"/>
          <w:szCs w:val="28"/>
          <w:lang w:val="fr-FR" w:eastAsia="ru-RU"/>
        </w:rPr>
        <w:t>Au cours de la conférence en ligne, le concept de création de l'IFPA a été présenté comme la principale plate-forme pour élargir la coopération des entreprises de transformation alimentaire des pays membres de l'OISA et leur donner accès à leurs marchés, en augmentant le commerce mutuel et l'approvisionnement alimentaire, les investissements dans la production et la transformation des aliments, et réduire les pertes après récolte. En outre, les opportunités d'investissement et de coopération commerciale ont été discutées avec les institutions de développement spécialisées de l'OCI.</w:t>
      </w:r>
    </w:p>
    <w:p w14:paraId="64F7CEA1" w14:textId="2AA703E2" w:rsidR="00762CB6" w:rsidRPr="007A10A5" w:rsidRDefault="00762CB6" w:rsidP="007A10A5">
      <w:pPr>
        <w:spacing w:after="0" w:line="240" w:lineRule="auto"/>
        <w:jc w:val="both"/>
        <w:rPr>
          <w:rFonts w:ascii="Times New Roman" w:eastAsia="Calibri" w:hAnsi="Times New Roman" w:cs="Times New Roman"/>
          <w:sz w:val="28"/>
          <w:szCs w:val="28"/>
          <w:lang w:val="fr-FR" w:eastAsia="ru-RU"/>
        </w:rPr>
      </w:pPr>
      <w:r w:rsidRPr="007A10A5">
        <w:rPr>
          <w:rFonts w:ascii="Times New Roman" w:eastAsia="Calibri" w:hAnsi="Times New Roman" w:cs="Times New Roman"/>
          <w:sz w:val="28"/>
          <w:szCs w:val="28"/>
          <w:lang w:val="fr-FR" w:eastAsia="ru-RU"/>
        </w:rPr>
        <w:t>11.</w:t>
      </w:r>
      <w:r w:rsidR="007A10A5">
        <w:rPr>
          <w:rFonts w:ascii="Times New Roman" w:eastAsia="Calibri" w:hAnsi="Times New Roman" w:cs="Times New Roman"/>
          <w:sz w:val="28"/>
          <w:szCs w:val="28"/>
          <w:lang w:val="fr-FR" w:eastAsia="ru-RU"/>
        </w:rPr>
        <w:tab/>
      </w:r>
      <w:r w:rsidRPr="007A10A5">
        <w:rPr>
          <w:rFonts w:ascii="Times New Roman" w:eastAsia="Calibri" w:hAnsi="Times New Roman" w:cs="Times New Roman"/>
          <w:sz w:val="28"/>
          <w:szCs w:val="28"/>
          <w:lang w:val="fr-FR" w:eastAsia="ru-RU"/>
        </w:rPr>
        <w:t xml:space="preserve">En outre, le 27 juillet 2020, l'OISA a organisé une conférence en ligne sur le rôle de l'IFPA pour la coopération du secteur privé de l'OCI vers les chaînes d'approvisionnement </w:t>
      </w:r>
      <w:r w:rsidRPr="007A10A5">
        <w:rPr>
          <w:rFonts w:ascii="Times New Roman" w:eastAsia="Calibri" w:hAnsi="Times New Roman" w:cs="Times New Roman"/>
          <w:sz w:val="28"/>
          <w:szCs w:val="28"/>
          <w:lang w:val="fr-FR" w:eastAsia="ru-RU"/>
        </w:rPr>
        <w:lastRenderedPageBreak/>
        <w:t>alimentaire. Plus de 50 participants des pays de l'OCI ont pris part à l'événement, y compris Son Excellence le Ministre de l'Agriculture du Kazakhstan, M. Saparkhan Omarov.</w:t>
      </w:r>
    </w:p>
    <w:p w14:paraId="5DD37473" w14:textId="7BD3F18A" w:rsidR="00983873" w:rsidRPr="007A10A5" w:rsidRDefault="00762CB6" w:rsidP="007A10A5">
      <w:pPr>
        <w:spacing w:line="240" w:lineRule="auto"/>
        <w:jc w:val="both"/>
        <w:rPr>
          <w:rFonts w:ascii="Times New Roman" w:eastAsia="Calibri" w:hAnsi="Times New Roman" w:cs="Times New Roman"/>
          <w:sz w:val="28"/>
          <w:szCs w:val="28"/>
          <w:lang w:val="fr-FR" w:eastAsia="ru-RU"/>
        </w:rPr>
      </w:pPr>
      <w:r w:rsidRPr="007A10A5">
        <w:rPr>
          <w:rFonts w:ascii="Times New Roman" w:eastAsia="Calibri" w:hAnsi="Times New Roman" w:cs="Times New Roman"/>
          <w:sz w:val="28"/>
          <w:szCs w:val="28"/>
          <w:lang w:val="fr-FR" w:eastAsia="ru-RU"/>
        </w:rPr>
        <w:t>À la suite de l'événement ci-dessus, les représentants des entreprises, en tant que membres potentiels de l'IFPA, ont souligné l'importance particulière d'assurer une chaîne d'approvisionnement alimentaire durable dans les pays membres de l'OISA / OCI, y compris dans le cadre des corridors commerciaux et humanitaires. Les participants à la conférence en ligne ont convenu qu'ils contribueraient conjointement à la mise en œuvre effective des buts et objectifs énoncés dans l'idée de créer l'IFPA</w:t>
      </w:r>
      <w:r w:rsidR="00BD7D49" w:rsidRPr="007A10A5">
        <w:rPr>
          <w:rFonts w:ascii="Times New Roman" w:eastAsia="Calibri" w:hAnsi="Times New Roman" w:cs="Times New Roman"/>
          <w:sz w:val="28"/>
          <w:szCs w:val="28"/>
          <w:lang w:val="fr-FR" w:eastAsia="ru-RU"/>
        </w:rPr>
        <w:t>.</w:t>
      </w:r>
    </w:p>
    <w:p w14:paraId="16F6EA3D" w14:textId="2FA78613" w:rsidR="00BF0C8A" w:rsidRPr="007A10A5" w:rsidRDefault="007A10A5" w:rsidP="007A10A5">
      <w:pPr>
        <w:spacing w:line="240" w:lineRule="auto"/>
        <w:jc w:val="both"/>
        <w:rPr>
          <w:rFonts w:ascii="Times New Roman" w:eastAsia="Calibri" w:hAnsi="Times New Roman" w:cs="Times New Roman"/>
          <w:b/>
          <w:bCs/>
          <w:sz w:val="28"/>
          <w:szCs w:val="28"/>
          <w:lang w:val="fr-FR" w:eastAsia="ru-RU"/>
        </w:rPr>
      </w:pPr>
      <w:r>
        <w:rPr>
          <w:rFonts w:ascii="Times New Roman" w:eastAsia="Calibri" w:hAnsi="Times New Roman" w:cs="Times New Roman"/>
          <w:sz w:val="28"/>
          <w:szCs w:val="28"/>
          <w:lang w:val="fr-FR" w:eastAsia="ru-RU"/>
        </w:rPr>
        <w:t>12.</w:t>
      </w:r>
      <w:r>
        <w:rPr>
          <w:rFonts w:ascii="Times New Roman" w:eastAsia="Calibri" w:hAnsi="Times New Roman" w:cs="Times New Roman"/>
          <w:sz w:val="28"/>
          <w:szCs w:val="28"/>
          <w:lang w:val="fr-FR" w:eastAsia="ru-RU"/>
        </w:rPr>
        <w:tab/>
      </w:r>
      <w:r w:rsidR="00BF0C8A" w:rsidRPr="007A10A5">
        <w:rPr>
          <w:rFonts w:ascii="Times New Roman" w:eastAsia="Calibri" w:hAnsi="Times New Roman" w:cs="Times New Roman"/>
          <w:sz w:val="28"/>
          <w:szCs w:val="28"/>
          <w:lang w:val="fr-FR" w:eastAsia="ru-RU"/>
        </w:rPr>
        <w:t>L'OISA a mis en place un Bureau de projet, composé de consultants et du personnel de l'OISA, pour suivre de près les questions de travail internes de l'IFPA.</w:t>
      </w:r>
    </w:p>
    <w:p w14:paraId="6B07FFCF" w14:textId="66ACABCB" w:rsidR="00EF6161" w:rsidRPr="007A10A5" w:rsidRDefault="00762CB6" w:rsidP="007A10A5">
      <w:pPr>
        <w:spacing w:after="0" w:line="240" w:lineRule="auto"/>
        <w:jc w:val="both"/>
        <w:rPr>
          <w:rFonts w:ascii="Times New Roman" w:eastAsia="Calibri" w:hAnsi="Times New Roman" w:cs="Times New Roman"/>
          <w:b/>
          <w:bCs/>
          <w:sz w:val="28"/>
          <w:szCs w:val="28"/>
          <w:lang w:val="fr-FR" w:eastAsia="ru-RU"/>
        </w:rPr>
      </w:pPr>
      <w:r w:rsidRPr="007A10A5">
        <w:rPr>
          <w:rFonts w:ascii="Times New Roman" w:eastAsia="Calibri" w:hAnsi="Times New Roman" w:cs="Times New Roman"/>
          <w:b/>
          <w:bCs/>
          <w:sz w:val="28"/>
          <w:szCs w:val="28"/>
          <w:lang w:val="fr-FR" w:eastAsia="ru-RU"/>
        </w:rPr>
        <w:t xml:space="preserve">Étude de faisabilité et </w:t>
      </w:r>
      <w:r w:rsidR="00AA3DF4" w:rsidRPr="007A10A5">
        <w:rPr>
          <w:rFonts w:ascii="Times New Roman" w:eastAsia="Calibri" w:hAnsi="Times New Roman" w:cs="Times New Roman"/>
          <w:b/>
          <w:bCs/>
          <w:sz w:val="28"/>
          <w:szCs w:val="28"/>
          <w:lang w:val="fr-FR" w:eastAsia="ru-RU"/>
        </w:rPr>
        <w:t>P</w:t>
      </w:r>
      <w:r w:rsidRPr="007A10A5">
        <w:rPr>
          <w:rFonts w:ascii="Times New Roman" w:eastAsia="Calibri" w:hAnsi="Times New Roman" w:cs="Times New Roman"/>
          <w:b/>
          <w:bCs/>
          <w:sz w:val="28"/>
          <w:szCs w:val="28"/>
          <w:lang w:val="fr-FR" w:eastAsia="ru-RU"/>
        </w:rPr>
        <w:t>lan d’affaire</w:t>
      </w:r>
      <w:r w:rsidR="00EF6161" w:rsidRPr="007A10A5">
        <w:rPr>
          <w:rFonts w:ascii="Times New Roman" w:eastAsia="Calibri" w:hAnsi="Times New Roman" w:cs="Times New Roman"/>
          <w:b/>
          <w:bCs/>
          <w:sz w:val="28"/>
          <w:szCs w:val="28"/>
          <w:lang w:val="fr-FR" w:eastAsia="ru-RU"/>
        </w:rPr>
        <w:t xml:space="preserve"> </w:t>
      </w:r>
    </w:p>
    <w:p w14:paraId="67E6360C" w14:textId="77182554" w:rsidR="00AA3DF4" w:rsidRPr="007A10A5" w:rsidRDefault="007A10A5" w:rsidP="007A10A5">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13.</w:t>
      </w:r>
      <w:r>
        <w:rPr>
          <w:rFonts w:ascii="Times New Roman" w:hAnsi="Times New Roman" w:cs="Times New Roman"/>
          <w:sz w:val="28"/>
          <w:szCs w:val="28"/>
          <w:lang w:val="fr-FR"/>
        </w:rPr>
        <w:tab/>
      </w:r>
      <w:r w:rsidR="00AA3DF4" w:rsidRPr="007A10A5">
        <w:rPr>
          <w:rFonts w:ascii="Times New Roman" w:hAnsi="Times New Roman" w:cs="Times New Roman"/>
          <w:sz w:val="28"/>
          <w:szCs w:val="28"/>
          <w:lang w:val="fr-FR"/>
        </w:rPr>
        <w:t>L'OISA a mandaté un cabinet de conseil international doté d'une expertise dans l'OCI et les chaînes d'approvisionnement agroalimentaires mondiales, Dinar Standard, basé à Dubaï, aux Émirats Arabes Unis, pour préparer une étude de faisabilité et un plan d'affaires pour la création et les opérations de l'IFPA.</w:t>
      </w:r>
    </w:p>
    <w:p w14:paraId="669E9D95" w14:textId="05B45AD5" w:rsidR="00EF6161" w:rsidRPr="007A10A5" w:rsidRDefault="00AA3DF4" w:rsidP="007A10A5">
      <w:pPr>
        <w:spacing w:after="0" w:line="240" w:lineRule="auto"/>
        <w:jc w:val="both"/>
        <w:rPr>
          <w:rFonts w:ascii="Times New Roman" w:eastAsia="Calibri" w:hAnsi="Times New Roman" w:cs="Times New Roman"/>
          <w:sz w:val="28"/>
          <w:szCs w:val="28"/>
          <w:lang w:eastAsia="ru-RU"/>
        </w:rPr>
      </w:pPr>
      <w:r w:rsidRPr="007A10A5">
        <w:rPr>
          <w:rFonts w:ascii="Times New Roman" w:hAnsi="Times New Roman" w:cs="Times New Roman"/>
          <w:sz w:val="28"/>
          <w:szCs w:val="28"/>
          <w:lang w:val="fr-FR"/>
        </w:rPr>
        <w:t xml:space="preserve">Le but de ce projet est de préparer un plan d'affaires solide pour une organisation distincte engageant le secteur privé, sous l'OISA, qui engagera et facilitera le développement du commerce et la sécurité alimentaire conduits par le secteur privé sur les marchés de l'OCI. </w:t>
      </w:r>
      <w:r w:rsidRPr="007A10A5">
        <w:rPr>
          <w:rFonts w:ascii="Times New Roman" w:hAnsi="Times New Roman" w:cs="Times New Roman"/>
          <w:sz w:val="28"/>
          <w:szCs w:val="28"/>
        </w:rPr>
        <w:t xml:space="preserve">Les </w:t>
      </w:r>
      <w:proofErr w:type="spellStart"/>
      <w:r w:rsidRPr="007A10A5">
        <w:rPr>
          <w:rFonts w:ascii="Times New Roman" w:hAnsi="Times New Roman" w:cs="Times New Roman"/>
          <w:sz w:val="28"/>
          <w:szCs w:val="28"/>
        </w:rPr>
        <w:t>objectifs</w:t>
      </w:r>
      <w:proofErr w:type="spellEnd"/>
      <w:r w:rsidRPr="007A10A5">
        <w:rPr>
          <w:rFonts w:ascii="Times New Roman" w:hAnsi="Times New Roman" w:cs="Times New Roman"/>
          <w:sz w:val="28"/>
          <w:szCs w:val="28"/>
        </w:rPr>
        <w:t xml:space="preserve"> </w:t>
      </w:r>
      <w:proofErr w:type="spellStart"/>
      <w:r w:rsidRPr="007A10A5">
        <w:rPr>
          <w:rFonts w:ascii="Times New Roman" w:hAnsi="Times New Roman" w:cs="Times New Roman"/>
          <w:sz w:val="28"/>
          <w:szCs w:val="28"/>
        </w:rPr>
        <w:t>stratégiques</w:t>
      </w:r>
      <w:proofErr w:type="spellEnd"/>
      <w:r w:rsidRPr="007A10A5">
        <w:rPr>
          <w:rFonts w:ascii="Times New Roman" w:hAnsi="Times New Roman" w:cs="Times New Roman"/>
          <w:sz w:val="28"/>
          <w:szCs w:val="28"/>
        </w:rPr>
        <w:t xml:space="preserve"> de </w:t>
      </w:r>
      <w:proofErr w:type="spellStart"/>
      <w:r w:rsidRPr="007A10A5">
        <w:rPr>
          <w:rFonts w:ascii="Times New Roman" w:hAnsi="Times New Roman" w:cs="Times New Roman"/>
          <w:sz w:val="28"/>
          <w:szCs w:val="28"/>
        </w:rPr>
        <w:t>l'IFPA</w:t>
      </w:r>
      <w:proofErr w:type="spellEnd"/>
      <w:r w:rsidRPr="007A10A5">
        <w:rPr>
          <w:rFonts w:ascii="Times New Roman" w:hAnsi="Times New Roman" w:cs="Times New Roman"/>
          <w:sz w:val="28"/>
          <w:szCs w:val="28"/>
        </w:rPr>
        <w:t xml:space="preserve"> </w:t>
      </w:r>
      <w:proofErr w:type="spellStart"/>
      <w:r w:rsidRPr="007A10A5">
        <w:rPr>
          <w:rFonts w:ascii="Times New Roman" w:hAnsi="Times New Roman" w:cs="Times New Roman"/>
          <w:sz w:val="28"/>
          <w:szCs w:val="28"/>
        </w:rPr>
        <w:t>sont</w:t>
      </w:r>
      <w:proofErr w:type="spellEnd"/>
      <w:r w:rsidRPr="007A10A5">
        <w:rPr>
          <w:rFonts w:ascii="Times New Roman" w:hAnsi="Times New Roman" w:cs="Times New Roman"/>
          <w:sz w:val="28"/>
          <w:szCs w:val="28"/>
        </w:rPr>
        <w:t xml:space="preserve"> de</w:t>
      </w:r>
      <w:r w:rsidR="00B609A8" w:rsidRPr="007A10A5">
        <w:rPr>
          <w:rFonts w:ascii="Times New Roman" w:eastAsia="Calibri" w:hAnsi="Times New Roman" w:cs="Times New Roman"/>
          <w:sz w:val="28"/>
          <w:szCs w:val="28"/>
          <w:lang w:eastAsia="ru-RU"/>
        </w:rPr>
        <w:t>:</w:t>
      </w:r>
    </w:p>
    <w:p w14:paraId="55407D34" w14:textId="77777777" w:rsidR="00AA3DF4" w:rsidRPr="007A10A5" w:rsidRDefault="00AA3DF4" w:rsidP="007A10A5">
      <w:pPr>
        <w:pStyle w:val="a3"/>
        <w:numPr>
          <w:ilvl w:val="0"/>
          <w:numId w:val="14"/>
        </w:numPr>
        <w:spacing w:after="0" w:line="240" w:lineRule="auto"/>
        <w:ind w:hanging="720"/>
        <w:contextualSpacing w:val="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permettre une croissance significative des exportations alimentaires des entreprises pour les pays membres. Cela abordera la sécurité alimentaire de l'OCI en réduisant la dépendance aux importations et en augmentant les exportations</w:t>
      </w:r>
    </w:p>
    <w:p w14:paraId="261017D9" w14:textId="77777777" w:rsidR="00AA3DF4" w:rsidRPr="007A10A5" w:rsidRDefault="00AA3DF4" w:rsidP="007A10A5">
      <w:pPr>
        <w:pStyle w:val="a3"/>
        <w:numPr>
          <w:ilvl w:val="0"/>
          <w:numId w:val="14"/>
        </w:numPr>
        <w:spacing w:after="0" w:line="240" w:lineRule="auto"/>
        <w:ind w:hanging="720"/>
        <w:contextualSpacing w:val="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permettre la création d'entreprises et d'entreprises champions de l'OCI dans les principaux sous-secteurs alimentaires essentiels et à travers les chaînes de valeur de l'agriculture à la transformation des aliments en passant par la vente au détail</w:t>
      </w:r>
    </w:p>
    <w:p w14:paraId="526F9F25" w14:textId="77777777" w:rsidR="00AA3DF4" w:rsidRPr="007A10A5" w:rsidRDefault="00AA3DF4" w:rsidP="007A10A5">
      <w:pPr>
        <w:pStyle w:val="a3"/>
        <w:numPr>
          <w:ilvl w:val="0"/>
          <w:numId w:val="14"/>
        </w:numPr>
        <w:spacing w:after="0" w:line="240" w:lineRule="auto"/>
        <w:ind w:hanging="720"/>
        <w:contextualSpacing w:val="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identifier les repères de réussite actuels de l'OCI et les diffuser sur d'autres marchés de l'OCI</w:t>
      </w:r>
    </w:p>
    <w:p w14:paraId="1F393AF1" w14:textId="77777777" w:rsidR="00AA3DF4" w:rsidRPr="007A10A5" w:rsidRDefault="00AA3DF4" w:rsidP="007A10A5">
      <w:pPr>
        <w:pStyle w:val="a3"/>
        <w:numPr>
          <w:ilvl w:val="0"/>
          <w:numId w:val="14"/>
        </w:numPr>
        <w:spacing w:after="0" w:line="240" w:lineRule="auto"/>
        <w:ind w:hanging="720"/>
        <w:contextualSpacing w:val="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promouvoir une réduction quantifiable du gaspillage alimentaire et des pertes après récolte et favoriser une croissance agroalimentaire durable</w:t>
      </w:r>
    </w:p>
    <w:p w14:paraId="7196E3A0" w14:textId="77777777" w:rsidR="00AA3DF4" w:rsidRPr="007A10A5" w:rsidRDefault="00AA3DF4" w:rsidP="007A10A5">
      <w:pPr>
        <w:pStyle w:val="a3"/>
        <w:numPr>
          <w:ilvl w:val="0"/>
          <w:numId w:val="14"/>
        </w:numPr>
        <w:spacing w:after="0" w:line="240" w:lineRule="auto"/>
        <w:ind w:hanging="720"/>
        <w:contextualSpacing w:val="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promouvoir le plaidoyer et les liens commerciaux dans le domaine de la transformation des aliments parmi les transformateurs alimentaires et les producteurs associés de toute la chaîne de valeur et les institutions de soutien agroalimentaire pertinentes telles que les banques, les instituts de formation professionnelle et de recherche, les agences de normalisation, les associations d'agriculteurs, les syndicats alimentaires et autres organismes faîtiers pertinents pour l'agroalimentaire</w:t>
      </w:r>
    </w:p>
    <w:p w14:paraId="44A7542E" w14:textId="77777777" w:rsidR="00AA3DF4" w:rsidRPr="007A10A5" w:rsidRDefault="00AA3DF4" w:rsidP="007A10A5">
      <w:pPr>
        <w:pStyle w:val="a3"/>
        <w:numPr>
          <w:ilvl w:val="0"/>
          <w:numId w:val="14"/>
        </w:numPr>
        <w:spacing w:after="0" w:line="240" w:lineRule="auto"/>
        <w:ind w:hanging="720"/>
        <w:contextualSpacing w:val="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identifier les partenariats potentiels et les opportunités d'investissement dans le domaine de la transformation des aliments sur la base de mécanismes efficaces au sein de l'OCI et des États membres de l'OISA</w:t>
      </w:r>
    </w:p>
    <w:p w14:paraId="625547A5" w14:textId="77777777" w:rsidR="00AA3DF4" w:rsidRPr="007A10A5" w:rsidRDefault="00AA3DF4" w:rsidP="007A10A5">
      <w:pPr>
        <w:pStyle w:val="a3"/>
        <w:numPr>
          <w:ilvl w:val="0"/>
          <w:numId w:val="14"/>
        </w:numPr>
        <w:spacing w:after="0" w:line="240" w:lineRule="auto"/>
        <w:ind w:hanging="720"/>
        <w:contextualSpacing w:val="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établir et activer les principaux pôles et nœuds de la chaîne de valeur alimentaire de l'OCI</w:t>
      </w:r>
    </w:p>
    <w:p w14:paraId="3AF07129" w14:textId="2FCF0726" w:rsidR="00B609A8" w:rsidRPr="007A10A5" w:rsidRDefault="00AA3DF4" w:rsidP="00FA6DFA">
      <w:pPr>
        <w:pStyle w:val="a3"/>
        <w:numPr>
          <w:ilvl w:val="0"/>
          <w:numId w:val="14"/>
        </w:numPr>
        <w:spacing w:line="240" w:lineRule="auto"/>
        <w:ind w:hanging="720"/>
        <w:contextualSpacing w:val="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lastRenderedPageBreak/>
        <w:t>permettre aux plates-formes technologiques pour le commerce alimentaire de l'OCI et la croissance du développement basé sur une technologie innovante qui permettra aux importateurs, exportateurs et autres entités de la chaîne d'approvisionnement à travers les marchés agroalimentaires de l'OCI de se relier directement les uns aux autres avec la capacité de suivre et retracer toutes les données nécessaires en temps réel.</w:t>
      </w:r>
    </w:p>
    <w:p w14:paraId="151FCA72" w14:textId="28953B4E" w:rsidR="000C4CF6" w:rsidRPr="007A10A5" w:rsidRDefault="00AA3DF4" w:rsidP="00FA6DFA">
      <w:pPr>
        <w:spacing w:after="0" w:line="240" w:lineRule="auto"/>
        <w:jc w:val="both"/>
        <w:rPr>
          <w:rFonts w:ascii="Times New Roman" w:eastAsia="Calibri" w:hAnsi="Times New Roman" w:cs="Times New Roman"/>
          <w:sz w:val="28"/>
          <w:szCs w:val="28"/>
          <w:lang w:val="fr-FR" w:eastAsia="ru-RU"/>
        </w:rPr>
      </w:pPr>
      <w:r w:rsidRPr="007A10A5">
        <w:rPr>
          <w:rFonts w:ascii="Times New Roman" w:eastAsia="Calibri" w:hAnsi="Times New Roman" w:cs="Times New Roman"/>
          <w:sz w:val="28"/>
          <w:szCs w:val="28"/>
          <w:lang w:val="fr-FR" w:eastAsia="ru-RU"/>
        </w:rPr>
        <w:t>L'approche stratégique de l'IFPA pour atteindre les objectifs ci-dessus sera de mettre en action</w:t>
      </w:r>
      <w:r w:rsidR="000C4CF6" w:rsidRPr="007A10A5">
        <w:rPr>
          <w:rFonts w:ascii="Times New Roman" w:eastAsia="Calibri" w:hAnsi="Times New Roman" w:cs="Times New Roman"/>
          <w:sz w:val="28"/>
          <w:szCs w:val="28"/>
          <w:lang w:val="fr-FR" w:eastAsia="ru-RU"/>
        </w:rPr>
        <w:t>:</w:t>
      </w:r>
    </w:p>
    <w:p w14:paraId="18C1BC1F" w14:textId="77777777" w:rsidR="00AA3DF4" w:rsidRPr="007A10A5" w:rsidRDefault="00AA3DF4" w:rsidP="00FA6DFA">
      <w:pPr>
        <w:pStyle w:val="a3"/>
        <w:numPr>
          <w:ilvl w:val="0"/>
          <w:numId w:val="14"/>
        </w:numPr>
        <w:spacing w:after="0" w:line="240" w:lineRule="auto"/>
        <w:ind w:hanging="720"/>
        <w:contextualSpacing w:val="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analyse des principaux acteurs de l'industrie domiciliés dans l'OCI à travers la chaîne de valeur agroalimentaire</w:t>
      </w:r>
    </w:p>
    <w:p w14:paraId="5B5AB751" w14:textId="77777777" w:rsidR="00AA3DF4" w:rsidRPr="007A10A5" w:rsidRDefault="00AA3DF4" w:rsidP="007A10A5">
      <w:pPr>
        <w:pStyle w:val="a3"/>
        <w:numPr>
          <w:ilvl w:val="0"/>
          <w:numId w:val="14"/>
        </w:numPr>
        <w:spacing w:after="0" w:line="240" w:lineRule="auto"/>
        <w:ind w:hanging="720"/>
        <w:contextualSpacing w:val="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analyse des acteurs pertinents de l’écosystème (réglementation, logistique, technologie, finance, recherche)</w:t>
      </w:r>
    </w:p>
    <w:p w14:paraId="42379842" w14:textId="77777777" w:rsidR="00AA3DF4" w:rsidRPr="007A10A5" w:rsidRDefault="00AA3DF4" w:rsidP="007A10A5">
      <w:pPr>
        <w:pStyle w:val="a3"/>
        <w:numPr>
          <w:ilvl w:val="0"/>
          <w:numId w:val="14"/>
        </w:numPr>
        <w:spacing w:after="0" w:line="240" w:lineRule="auto"/>
        <w:ind w:hanging="720"/>
        <w:contextualSpacing w:val="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analyse des principaux acteurs mondiaux liés à travers la chaîne de valeur pour une analyse comparative concurrentielle</w:t>
      </w:r>
    </w:p>
    <w:p w14:paraId="69D90327" w14:textId="77777777" w:rsidR="00AA3DF4" w:rsidRPr="007A10A5" w:rsidRDefault="00AA3DF4" w:rsidP="007A10A5">
      <w:pPr>
        <w:pStyle w:val="a3"/>
        <w:numPr>
          <w:ilvl w:val="0"/>
          <w:numId w:val="14"/>
        </w:numPr>
        <w:spacing w:after="0" w:line="240" w:lineRule="auto"/>
        <w:ind w:hanging="720"/>
        <w:contextualSpacing w:val="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cadre complet avec les principales lacunes et défis pour permettre le rôle de l'industrie agroalimentaire de l'OCI dans la promotion de la sécurité alimentaire</w:t>
      </w:r>
    </w:p>
    <w:p w14:paraId="455ACD94" w14:textId="77777777" w:rsidR="00AA3DF4" w:rsidRPr="007A10A5" w:rsidRDefault="00AA3DF4" w:rsidP="007A10A5">
      <w:pPr>
        <w:pStyle w:val="a3"/>
        <w:numPr>
          <w:ilvl w:val="0"/>
          <w:numId w:val="14"/>
        </w:numPr>
        <w:spacing w:after="0" w:line="240" w:lineRule="auto"/>
        <w:ind w:hanging="720"/>
        <w:contextualSpacing w:val="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cadre complet avec des domaines d’opportunités stratégiques à traiter par l’IFPA</w:t>
      </w:r>
    </w:p>
    <w:p w14:paraId="640AAE6C" w14:textId="478D7B82" w:rsidR="00376559" w:rsidRPr="007A10A5" w:rsidRDefault="00AA3DF4" w:rsidP="00FA6DFA">
      <w:pPr>
        <w:pStyle w:val="a3"/>
        <w:numPr>
          <w:ilvl w:val="0"/>
          <w:numId w:val="14"/>
        </w:numPr>
        <w:spacing w:line="240" w:lineRule="auto"/>
        <w:ind w:hanging="720"/>
        <w:contextualSpacing w:val="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plan d’affaires solide et rationnel pour l’IFPA couvrant l’analyse de marché, la proposition de services, le modèle de revenus durables, la structure d’exploitation et de gouvernance, les partenariats et les adhésions stratégiques et les plans de marketing et d’investissement</w:t>
      </w:r>
    </w:p>
    <w:p w14:paraId="6E104B32" w14:textId="237B8F16" w:rsidR="00EF6161" w:rsidRPr="007A10A5" w:rsidRDefault="00C656E6" w:rsidP="00FA6DFA">
      <w:pPr>
        <w:spacing w:after="0" w:line="240" w:lineRule="auto"/>
        <w:jc w:val="both"/>
        <w:rPr>
          <w:rFonts w:ascii="Times New Roman" w:eastAsia="Calibri" w:hAnsi="Times New Roman" w:cs="Times New Roman"/>
          <w:b/>
          <w:bCs/>
          <w:sz w:val="28"/>
          <w:szCs w:val="28"/>
          <w:lang w:val="fr-FR" w:eastAsia="ru-RU"/>
        </w:rPr>
      </w:pPr>
      <w:r w:rsidRPr="007A10A5">
        <w:rPr>
          <w:rFonts w:ascii="Times New Roman" w:eastAsia="Calibri" w:hAnsi="Times New Roman" w:cs="Times New Roman"/>
          <w:b/>
          <w:bCs/>
          <w:sz w:val="28"/>
          <w:szCs w:val="28"/>
          <w:lang w:val="fr-FR" w:eastAsia="ru-RU"/>
        </w:rPr>
        <w:t>Enregistrement de l'IFPA</w:t>
      </w:r>
      <w:r w:rsidR="00EF6161" w:rsidRPr="007A10A5">
        <w:rPr>
          <w:rFonts w:ascii="Times New Roman" w:eastAsia="Calibri" w:hAnsi="Times New Roman" w:cs="Times New Roman"/>
          <w:b/>
          <w:bCs/>
          <w:sz w:val="28"/>
          <w:szCs w:val="28"/>
          <w:lang w:val="fr-FR" w:eastAsia="ru-RU"/>
        </w:rPr>
        <w:t xml:space="preserve"> </w:t>
      </w:r>
    </w:p>
    <w:p w14:paraId="0ADB99B0" w14:textId="5AEDD3D4" w:rsidR="004E5D40" w:rsidRPr="007A10A5" w:rsidRDefault="007A10A5" w:rsidP="00FA6DFA">
      <w:pPr>
        <w:spacing w:after="0" w:line="240" w:lineRule="auto"/>
        <w:jc w:val="both"/>
        <w:rPr>
          <w:rFonts w:ascii="Times New Roman" w:eastAsia="Calibri" w:hAnsi="Times New Roman" w:cs="Times New Roman"/>
          <w:sz w:val="28"/>
          <w:szCs w:val="28"/>
          <w:lang w:val="fr-FR" w:eastAsia="ru-RU"/>
        </w:rPr>
      </w:pPr>
      <w:r>
        <w:rPr>
          <w:rFonts w:ascii="Times New Roman" w:eastAsia="Calibri" w:hAnsi="Times New Roman" w:cs="Times New Roman"/>
          <w:sz w:val="28"/>
          <w:szCs w:val="28"/>
          <w:lang w:val="fr-FR" w:eastAsia="ru-RU"/>
        </w:rPr>
        <w:t>14.</w:t>
      </w:r>
      <w:r>
        <w:rPr>
          <w:rFonts w:ascii="Times New Roman" w:eastAsia="Calibri" w:hAnsi="Times New Roman" w:cs="Times New Roman"/>
          <w:sz w:val="28"/>
          <w:szCs w:val="28"/>
          <w:lang w:val="fr-FR" w:eastAsia="ru-RU"/>
        </w:rPr>
        <w:tab/>
      </w:r>
      <w:r w:rsidR="00C656E6" w:rsidRPr="007A10A5">
        <w:rPr>
          <w:rFonts w:ascii="Times New Roman" w:eastAsia="Calibri" w:hAnsi="Times New Roman" w:cs="Times New Roman"/>
          <w:sz w:val="28"/>
          <w:szCs w:val="28"/>
          <w:lang w:val="fr-FR" w:eastAsia="ru-RU"/>
        </w:rPr>
        <w:t>Il est proposé que l'IFPA soit établi au Centre financier international d'Astana («AIFC») basé sur la juridiction de common law anglaise qui est déjà largement connue et couramment utilisée dans les États membres de l'OCI et de l'OISA afin de fournir une bonne gouvernance, une transparence et une robustesse cadre réglementaire et normes internationales. En vertu des lois AIFC, l'IFPA sera créée en tant que filiale à 100% d'OISA sous la forme</w:t>
      </w:r>
      <w:r w:rsidR="003458C0" w:rsidRPr="007A10A5">
        <w:rPr>
          <w:rFonts w:ascii="Times New Roman" w:eastAsia="Calibri" w:hAnsi="Times New Roman" w:cs="Times New Roman"/>
          <w:sz w:val="28"/>
          <w:szCs w:val="28"/>
          <w:lang w:val="fr-FR" w:eastAsia="ru-RU"/>
        </w:rPr>
        <w:t xml:space="preserve"> d’une organisation à but non lucratif</w:t>
      </w:r>
      <w:r w:rsidR="00C656E6" w:rsidRPr="007A10A5">
        <w:rPr>
          <w:rFonts w:ascii="Times New Roman" w:eastAsia="Calibri" w:hAnsi="Times New Roman" w:cs="Times New Roman"/>
          <w:sz w:val="28"/>
          <w:szCs w:val="28"/>
          <w:lang w:val="fr-FR" w:eastAsia="ru-RU"/>
        </w:rPr>
        <w:t>.</w:t>
      </w:r>
      <w:r w:rsidR="009D5316" w:rsidRPr="007A10A5">
        <w:rPr>
          <w:rFonts w:ascii="Times New Roman" w:eastAsia="Calibri" w:hAnsi="Times New Roman" w:cs="Times New Roman"/>
          <w:sz w:val="28"/>
          <w:szCs w:val="28"/>
          <w:lang w:val="fr-FR" w:eastAsia="ru-RU"/>
        </w:rPr>
        <w:t xml:space="preserve"> </w:t>
      </w:r>
    </w:p>
    <w:p w14:paraId="44EB3DF0" w14:textId="77777777" w:rsidR="002C32CD" w:rsidRPr="007A10A5" w:rsidRDefault="002C32CD" w:rsidP="007A10A5">
      <w:pPr>
        <w:spacing w:after="120" w:line="240" w:lineRule="auto"/>
        <w:jc w:val="both"/>
        <w:rPr>
          <w:rFonts w:ascii="Times New Roman" w:eastAsia="Calibri" w:hAnsi="Times New Roman" w:cs="Times New Roman"/>
          <w:b/>
          <w:bCs/>
          <w:sz w:val="28"/>
          <w:szCs w:val="28"/>
          <w:lang w:val="fr-FR" w:eastAsia="ru-RU"/>
        </w:rPr>
      </w:pPr>
    </w:p>
    <w:p w14:paraId="553D8C9A" w14:textId="389AF1E2" w:rsidR="00EF6161" w:rsidRPr="007A10A5" w:rsidRDefault="00C656E6" w:rsidP="007A10A5">
      <w:pPr>
        <w:spacing w:after="120" w:line="240" w:lineRule="auto"/>
        <w:jc w:val="both"/>
        <w:rPr>
          <w:rFonts w:ascii="Times New Roman" w:eastAsia="Calibri" w:hAnsi="Times New Roman" w:cs="Times New Roman"/>
          <w:b/>
          <w:bCs/>
          <w:sz w:val="28"/>
          <w:szCs w:val="28"/>
          <w:lang w:eastAsia="ru-RU"/>
        </w:rPr>
      </w:pPr>
      <w:proofErr w:type="spellStart"/>
      <w:r w:rsidRPr="007A10A5">
        <w:rPr>
          <w:rFonts w:ascii="Times New Roman" w:eastAsia="Calibri" w:hAnsi="Times New Roman" w:cs="Times New Roman"/>
          <w:b/>
          <w:bCs/>
          <w:sz w:val="28"/>
          <w:szCs w:val="28"/>
          <w:lang w:eastAsia="ru-RU"/>
        </w:rPr>
        <w:t>Calendrier</w:t>
      </w:r>
      <w:proofErr w:type="spellEnd"/>
      <w:r w:rsidR="00B202F8" w:rsidRPr="007A10A5">
        <w:rPr>
          <w:rFonts w:ascii="Times New Roman" w:eastAsia="Calibri" w:hAnsi="Times New Roman" w:cs="Times New Roman"/>
          <w:b/>
          <w:bCs/>
          <w:sz w:val="28"/>
          <w:szCs w:val="28"/>
          <w:lang w:eastAsia="ru-RU"/>
        </w:rPr>
        <w:t xml:space="preserve"> </w:t>
      </w:r>
    </w:p>
    <w:tbl>
      <w:tblPr>
        <w:tblStyle w:val="aff2"/>
        <w:tblW w:w="9351" w:type="dxa"/>
        <w:tblLayout w:type="fixed"/>
        <w:tblLook w:val="04A0" w:firstRow="1" w:lastRow="0" w:firstColumn="1" w:lastColumn="0" w:noHBand="0" w:noVBand="1"/>
      </w:tblPr>
      <w:tblGrid>
        <w:gridCol w:w="428"/>
        <w:gridCol w:w="3536"/>
        <w:gridCol w:w="3119"/>
        <w:gridCol w:w="2268"/>
      </w:tblGrid>
      <w:tr w:rsidR="00B202F8" w:rsidRPr="007A10A5" w14:paraId="207FBB8F" w14:textId="77777777" w:rsidTr="00E30337">
        <w:tc>
          <w:tcPr>
            <w:tcW w:w="428" w:type="dxa"/>
          </w:tcPr>
          <w:p w14:paraId="544CF1F2" w14:textId="77777777" w:rsidR="00B202F8" w:rsidRPr="007A10A5" w:rsidRDefault="00B202F8" w:rsidP="007A10A5">
            <w:pPr>
              <w:spacing w:after="120"/>
              <w:rPr>
                <w:rFonts w:ascii="Times New Roman" w:hAnsi="Times New Roman" w:cs="Times New Roman"/>
                <w:b/>
                <w:bCs/>
                <w:sz w:val="28"/>
                <w:szCs w:val="28"/>
                <w:lang w:val="en-US"/>
              </w:rPr>
            </w:pPr>
            <w:r w:rsidRPr="007A10A5">
              <w:rPr>
                <w:rFonts w:ascii="Times New Roman" w:hAnsi="Times New Roman" w:cs="Times New Roman"/>
                <w:b/>
                <w:bCs/>
                <w:sz w:val="28"/>
                <w:szCs w:val="28"/>
              </w:rPr>
              <w:t>#</w:t>
            </w:r>
          </w:p>
        </w:tc>
        <w:tc>
          <w:tcPr>
            <w:tcW w:w="3536" w:type="dxa"/>
          </w:tcPr>
          <w:p w14:paraId="26EAB937" w14:textId="7E5ACC4B" w:rsidR="00B202F8" w:rsidRPr="007A10A5" w:rsidRDefault="00B202F8" w:rsidP="007A10A5">
            <w:pPr>
              <w:spacing w:after="120"/>
              <w:jc w:val="center"/>
              <w:rPr>
                <w:rFonts w:ascii="Times New Roman" w:hAnsi="Times New Roman" w:cs="Times New Roman"/>
                <w:b/>
                <w:bCs/>
                <w:sz w:val="28"/>
                <w:szCs w:val="28"/>
                <w:lang w:val="fr-FR"/>
              </w:rPr>
            </w:pPr>
            <w:proofErr w:type="spellStart"/>
            <w:r w:rsidRPr="007A10A5">
              <w:rPr>
                <w:rFonts w:ascii="Times New Roman" w:hAnsi="Times New Roman" w:cs="Times New Roman"/>
                <w:b/>
                <w:bCs/>
                <w:sz w:val="28"/>
                <w:szCs w:val="28"/>
              </w:rPr>
              <w:t>Activit</w:t>
            </w:r>
            <w:proofErr w:type="spellEnd"/>
            <w:r w:rsidR="00C656E6" w:rsidRPr="007A10A5">
              <w:rPr>
                <w:rFonts w:ascii="Times New Roman" w:hAnsi="Times New Roman" w:cs="Times New Roman"/>
                <w:b/>
                <w:bCs/>
                <w:sz w:val="28"/>
                <w:szCs w:val="28"/>
                <w:lang w:val="fr-FR"/>
              </w:rPr>
              <w:t>é</w:t>
            </w:r>
          </w:p>
        </w:tc>
        <w:tc>
          <w:tcPr>
            <w:tcW w:w="3119" w:type="dxa"/>
          </w:tcPr>
          <w:p w14:paraId="15D046D4" w14:textId="26B5E495" w:rsidR="00B202F8" w:rsidRPr="007A10A5" w:rsidRDefault="00C656E6" w:rsidP="007A10A5">
            <w:pPr>
              <w:spacing w:after="120"/>
              <w:jc w:val="center"/>
              <w:rPr>
                <w:rFonts w:ascii="Times New Roman" w:hAnsi="Times New Roman" w:cs="Times New Roman"/>
                <w:b/>
                <w:bCs/>
                <w:sz w:val="28"/>
                <w:szCs w:val="28"/>
                <w:lang w:val="en-US"/>
              </w:rPr>
            </w:pPr>
            <w:proofErr w:type="spellStart"/>
            <w:r w:rsidRPr="007A10A5">
              <w:rPr>
                <w:rFonts w:ascii="Times New Roman" w:hAnsi="Times New Roman" w:cs="Times New Roman"/>
                <w:b/>
                <w:bCs/>
                <w:sz w:val="28"/>
                <w:szCs w:val="28"/>
              </w:rPr>
              <w:t>Formulaire</w:t>
            </w:r>
            <w:proofErr w:type="spellEnd"/>
            <w:r w:rsidRPr="007A10A5">
              <w:rPr>
                <w:rFonts w:ascii="Times New Roman" w:hAnsi="Times New Roman" w:cs="Times New Roman"/>
                <w:b/>
                <w:bCs/>
                <w:sz w:val="28"/>
                <w:szCs w:val="28"/>
              </w:rPr>
              <w:t xml:space="preserve"> </w:t>
            </w:r>
            <w:proofErr w:type="spellStart"/>
            <w:r w:rsidRPr="007A10A5">
              <w:rPr>
                <w:rFonts w:ascii="Times New Roman" w:hAnsi="Times New Roman" w:cs="Times New Roman"/>
                <w:b/>
                <w:bCs/>
                <w:sz w:val="28"/>
                <w:szCs w:val="28"/>
              </w:rPr>
              <w:t>de</w:t>
            </w:r>
            <w:proofErr w:type="spellEnd"/>
            <w:r w:rsidRPr="007A10A5">
              <w:rPr>
                <w:rFonts w:ascii="Times New Roman" w:hAnsi="Times New Roman" w:cs="Times New Roman"/>
                <w:b/>
                <w:bCs/>
                <w:sz w:val="28"/>
                <w:szCs w:val="28"/>
              </w:rPr>
              <w:t xml:space="preserve"> </w:t>
            </w:r>
            <w:proofErr w:type="spellStart"/>
            <w:r w:rsidRPr="007A10A5">
              <w:rPr>
                <w:rFonts w:ascii="Times New Roman" w:hAnsi="Times New Roman" w:cs="Times New Roman"/>
                <w:b/>
                <w:bCs/>
                <w:sz w:val="28"/>
                <w:szCs w:val="28"/>
              </w:rPr>
              <w:t>fin</w:t>
            </w:r>
            <w:proofErr w:type="spellEnd"/>
          </w:p>
        </w:tc>
        <w:tc>
          <w:tcPr>
            <w:tcW w:w="2268" w:type="dxa"/>
          </w:tcPr>
          <w:p w14:paraId="7239F04E" w14:textId="448BFD50" w:rsidR="00B202F8" w:rsidRPr="007A10A5" w:rsidRDefault="00B202F8" w:rsidP="007A10A5">
            <w:pPr>
              <w:spacing w:after="120"/>
              <w:jc w:val="center"/>
              <w:rPr>
                <w:rFonts w:ascii="Times New Roman" w:hAnsi="Times New Roman" w:cs="Times New Roman"/>
                <w:b/>
                <w:bCs/>
                <w:sz w:val="28"/>
                <w:szCs w:val="28"/>
                <w:lang w:val="fr-FR" w:bidi="ar-EG"/>
              </w:rPr>
            </w:pPr>
            <w:r w:rsidRPr="007A10A5">
              <w:rPr>
                <w:rFonts w:ascii="Times New Roman" w:hAnsi="Times New Roman" w:cs="Times New Roman"/>
                <w:b/>
                <w:bCs/>
                <w:sz w:val="28"/>
                <w:szCs w:val="28"/>
                <w:lang w:bidi="ar-EG"/>
              </w:rPr>
              <w:t>T</w:t>
            </w:r>
            <w:r w:rsidR="00C656E6" w:rsidRPr="007A10A5">
              <w:rPr>
                <w:rFonts w:ascii="Times New Roman" w:hAnsi="Times New Roman" w:cs="Times New Roman"/>
                <w:b/>
                <w:bCs/>
                <w:sz w:val="28"/>
                <w:szCs w:val="28"/>
                <w:lang w:val="fr-FR" w:bidi="ar-EG"/>
              </w:rPr>
              <w:t>emps</w:t>
            </w:r>
          </w:p>
        </w:tc>
      </w:tr>
      <w:tr w:rsidR="00A71542" w:rsidRPr="007A10A5" w14:paraId="707618BD" w14:textId="77777777" w:rsidTr="00E30337">
        <w:tc>
          <w:tcPr>
            <w:tcW w:w="428" w:type="dxa"/>
          </w:tcPr>
          <w:p w14:paraId="5E710510" w14:textId="1740D7FB" w:rsidR="00A71542" w:rsidRPr="007A10A5" w:rsidRDefault="00A71542" w:rsidP="007A10A5">
            <w:pPr>
              <w:spacing w:after="120"/>
              <w:rPr>
                <w:rFonts w:ascii="Times New Roman" w:hAnsi="Times New Roman" w:cs="Times New Roman"/>
                <w:sz w:val="28"/>
                <w:szCs w:val="28"/>
                <w:lang w:val="en-US"/>
              </w:rPr>
            </w:pPr>
            <w:r w:rsidRPr="007A10A5">
              <w:rPr>
                <w:rFonts w:ascii="Times New Roman" w:hAnsi="Times New Roman" w:cs="Times New Roman"/>
                <w:sz w:val="28"/>
                <w:szCs w:val="28"/>
              </w:rPr>
              <w:t>1.</w:t>
            </w:r>
          </w:p>
        </w:tc>
        <w:tc>
          <w:tcPr>
            <w:tcW w:w="3536" w:type="dxa"/>
          </w:tcPr>
          <w:p w14:paraId="30DC2316" w14:textId="4D7DA97E" w:rsidR="00A71542" w:rsidRPr="007A10A5" w:rsidRDefault="00A71542" w:rsidP="007A10A5">
            <w:pPr>
              <w:spacing w:after="12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Obtenir les commentaires et l'approbation du Conseil Exécutif de l'IOISA</w:t>
            </w:r>
          </w:p>
        </w:tc>
        <w:tc>
          <w:tcPr>
            <w:tcW w:w="3119" w:type="dxa"/>
          </w:tcPr>
          <w:p w14:paraId="083AC888" w14:textId="09B56B33" w:rsidR="00A71542" w:rsidRPr="007A10A5" w:rsidRDefault="00A71542" w:rsidP="007A10A5">
            <w:pPr>
              <w:spacing w:after="120"/>
              <w:rPr>
                <w:rFonts w:ascii="Times New Roman" w:hAnsi="Times New Roman" w:cs="Times New Roman"/>
                <w:sz w:val="28"/>
                <w:szCs w:val="28"/>
                <w:lang w:val="en-US"/>
              </w:rPr>
            </w:pPr>
            <w:proofErr w:type="spellStart"/>
            <w:r w:rsidRPr="007A10A5">
              <w:rPr>
                <w:rFonts w:ascii="Times New Roman" w:hAnsi="Times New Roman" w:cs="Times New Roman"/>
                <w:sz w:val="28"/>
                <w:szCs w:val="28"/>
                <w:lang w:val="en-US"/>
              </w:rPr>
              <w:t>Recommandation</w:t>
            </w:r>
            <w:proofErr w:type="spellEnd"/>
          </w:p>
        </w:tc>
        <w:tc>
          <w:tcPr>
            <w:tcW w:w="2268" w:type="dxa"/>
          </w:tcPr>
          <w:p w14:paraId="522BAC19" w14:textId="62F567AF" w:rsidR="00A71542" w:rsidRPr="007A10A5" w:rsidRDefault="00A71542" w:rsidP="007A10A5">
            <w:pPr>
              <w:spacing w:after="120"/>
              <w:rPr>
                <w:rFonts w:ascii="Times New Roman" w:hAnsi="Times New Roman" w:cs="Times New Roman"/>
                <w:sz w:val="28"/>
                <w:szCs w:val="28"/>
                <w:lang w:val="en-US" w:bidi="ar-EG"/>
              </w:rPr>
            </w:pPr>
            <w:r w:rsidRPr="007A10A5">
              <w:rPr>
                <w:rFonts w:ascii="Times New Roman" w:hAnsi="Times New Roman" w:cs="Times New Roman"/>
                <w:sz w:val="28"/>
                <w:szCs w:val="28"/>
                <w:lang w:val="fr-FR" w:bidi="ar-EG"/>
              </w:rPr>
              <w:t xml:space="preserve">Le </w:t>
            </w:r>
            <w:r w:rsidRPr="007A10A5">
              <w:rPr>
                <w:rFonts w:ascii="Times New Roman" w:hAnsi="Times New Roman" w:cs="Times New Roman"/>
                <w:sz w:val="28"/>
                <w:szCs w:val="28"/>
                <w:lang w:bidi="ar-EG"/>
              </w:rPr>
              <w:t xml:space="preserve">28 </w:t>
            </w:r>
            <w:r w:rsidRPr="007A10A5">
              <w:rPr>
                <w:rFonts w:ascii="Times New Roman" w:hAnsi="Times New Roman" w:cs="Times New Roman"/>
                <w:sz w:val="28"/>
                <w:szCs w:val="28"/>
                <w:lang w:val="fr-FR" w:bidi="ar-EG"/>
              </w:rPr>
              <w:t>o</w:t>
            </w:r>
            <w:proofErr w:type="spellStart"/>
            <w:r w:rsidRPr="007A10A5">
              <w:rPr>
                <w:rFonts w:ascii="Times New Roman" w:hAnsi="Times New Roman" w:cs="Times New Roman"/>
                <w:sz w:val="28"/>
                <w:szCs w:val="28"/>
                <w:lang w:bidi="ar-EG"/>
              </w:rPr>
              <w:t>ctob</w:t>
            </w:r>
            <w:proofErr w:type="spellEnd"/>
            <w:r w:rsidRPr="007A10A5">
              <w:rPr>
                <w:rFonts w:ascii="Times New Roman" w:hAnsi="Times New Roman" w:cs="Times New Roman"/>
                <w:sz w:val="28"/>
                <w:szCs w:val="28"/>
                <w:lang w:val="fr-FR" w:bidi="ar-EG"/>
              </w:rPr>
              <w:t>re</w:t>
            </w:r>
            <w:r w:rsidRPr="007A10A5">
              <w:rPr>
                <w:rFonts w:ascii="Times New Roman" w:hAnsi="Times New Roman" w:cs="Times New Roman"/>
                <w:sz w:val="28"/>
                <w:szCs w:val="28"/>
                <w:lang w:bidi="ar-EG"/>
              </w:rPr>
              <w:t xml:space="preserve"> 2020</w:t>
            </w:r>
          </w:p>
        </w:tc>
      </w:tr>
      <w:tr w:rsidR="00A71542" w:rsidRPr="007A10A5" w14:paraId="409FE045" w14:textId="77777777" w:rsidTr="00E30337">
        <w:tc>
          <w:tcPr>
            <w:tcW w:w="428" w:type="dxa"/>
          </w:tcPr>
          <w:p w14:paraId="5F4B167E" w14:textId="63CABAED" w:rsidR="00A71542" w:rsidRPr="007A10A5" w:rsidRDefault="00A71542" w:rsidP="007A10A5">
            <w:pPr>
              <w:spacing w:after="120"/>
              <w:rPr>
                <w:rFonts w:ascii="Times New Roman" w:hAnsi="Times New Roman" w:cs="Times New Roman"/>
                <w:sz w:val="28"/>
                <w:szCs w:val="28"/>
                <w:lang w:val="en-US"/>
              </w:rPr>
            </w:pPr>
            <w:r w:rsidRPr="007A10A5">
              <w:rPr>
                <w:rFonts w:ascii="Times New Roman" w:hAnsi="Times New Roman" w:cs="Times New Roman"/>
                <w:sz w:val="28"/>
                <w:szCs w:val="28"/>
              </w:rPr>
              <w:t>2.</w:t>
            </w:r>
          </w:p>
        </w:tc>
        <w:tc>
          <w:tcPr>
            <w:tcW w:w="3536" w:type="dxa"/>
          </w:tcPr>
          <w:p w14:paraId="5EAACCCB" w14:textId="2AC1347D" w:rsidR="00A71542" w:rsidRPr="007A10A5" w:rsidRDefault="00A71542" w:rsidP="007A10A5">
            <w:pPr>
              <w:spacing w:after="120"/>
              <w:jc w:val="both"/>
              <w:rPr>
                <w:rFonts w:ascii="Times New Roman" w:hAnsi="Times New Roman" w:cs="Times New Roman"/>
                <w:sz w:val="28"/>
                <w:szCs w:val="28"/>
                <w:lang w:val="fr-FR"/>
              </w:rPr>
            </w:pPr>
            <w:r w:rsidRPr="007A10A5">
              <w:rPr>
                <w:rFonts w:ascii="Times New Roman" w:hAnsi="Times New Roman" w:cs="Times New Roman"/>
                <w:sz w:val="28"/>
                <w:szCs w:val="28"/>
                <w:lang w:val="fr-FR"/>
              </w:rPr>
              <w:t>Étude de faisabilité</w:t>
            </w:r>
            <w:r w:rsidR="003458C0" w:rsidRPr="007A10A5">
              <w:rPr>
                <w:rFonts w:ascii="Times New Roman" w:hAnsi="Times New Roman" w:cs="Times New Roman"/>
                <w:sz w:val="28"/>
                <w:szCs w:val="28"/>
                <w:lang w:val="fr-FR"/>
              </w:rPr>
              <w:t xml:space="preserve"> pqr le Dinar Standart</w:t>
            </w:r>
          </w:p>
        </w:tc>
        <w:tc>
          <w:tcPr>
            <w:tcW w:w="3119" w:type="dxa"/>
          </w:tcPr>
          <w:p w14:paraId="597F6C99" w14:textId="112028AA" w:rsidR="00A71542" w:rsidRPr="007A10A5" w:rsidRDefault="00A71542" w:rsidP="007A10A5">
            <w:pPr>
              <w:spacing w:after="120"/>
              <w:rPr>
                <w:rFonts w:ascii="Times New Roman" w:hAnsi="Times New Roman" w:cs="Times New Roman"/>
                <w:sz w:val="28"/>
                <w:szCs w:val="28"/>
                <w:lang w:val="fr-FR"/>
              </w:rPr>
            </w:pPr>
            <w:r w:rsidRPr="007A10A5">
              <w:rPr>
                <w:rFonts w:ascii="Times New Roman" w:hAnsi="Times New Roman" w:cs="Times New Roman"/>
                <w:sz w:val="28"/>
                <w:szCs w:val="28"/>
                <w:lang w:val="fr-FR"/>
              </w:rPr>
              <w:t>Plan d'affaires pour l’ établissement de l'IFPA</w:t>
            </w:r>
          </w:p>
        </w:tc>
        <w:tc>
          <w:tcPr>
            <w:tcW w:w="2268" w:type="dxa"/>
          </w:tcPr>
          <w:p w14:paraId="353CB793" w14:textId="5F9003C8" w:rsidR="00A71542" w:rsidRPr="007A10A5" w:rsidRDefault="00A71542" w:rsidP="007A10A5">
            <w:pPr>
              <w:spacing w:after="120"/>
              <w:rPr>
                <w:rFonts w:ascii="Times New Roman" w:hAnsi="Times New Roman" w:cs="Times New Roman"/>
                <w:sz w:val="28"/>
                <w:szCs w:val="28"/>
                <w:lang w:val="en-US"/>
              </w:rPr>
            </w:pPr>
            <w:proofErr w:type="spellStart"/>
            <w:r w:rsidRPr="007A10A5">
              <w:rPr>
                <w:rFonts w:ascii="Times New Roman" w:hAnsi="Times New Roman" w:cs="Times New Roman"/>
                <w:sz w:val="28"/>
                <w:szCs w:val="28"/>
              </w:rPr>
              <w:t>Novemb</w:t>
            </w:r>
            <w:proofErr w:type="spellEnd"/>
            <w:r w:rsidRPr="007A10A5">
              <w:rPr>
                <w:rFonts w:ascii="Times New Roman" w:hAnsi="Times New Roman" w:cs="Times New Roman"/>
                <w:sz w:val="28"/>
                <w:szCs w:val="28"/>
                <w:lang w:val="fr-FR"/>
              </w:rPr>
              <w:t>re</w:t>
            </w:r>
            <w:r w:rsidRPr="007A10A5">
              <w:rPr>
                <w:rFonts w:ascii="Times New Roman" w:hAnsi="Times New Roman" w:cs="Times New Roman"/>
                <w:sz w:val="28"/>
                <w:szCs w:val="28"/>
              </w:rPr>
              <w:t xml:space="preserve"> 2020 </w:t>
            </w:r>
          </w:p>
        </w:tc>
      </w:tr>
      <w:tr w:rsidR="00A71542" w:rsidRPr="007A10A5" w14:paraId="54B8A220" w14:textId="77777777" w:rsidTr="00E30337">
        <w:tc>
          <w:tcPr>
            <w:tcW w:w="428" w:type="dxa"/>
          </w:tcPr>
          <w:p w14:paraId="506B8657" w14:textId="32E82252" w:rsidR="00A71542" w:rsidRPr="007A10A5" w:rsidRDefault="00A71542" w:rsidP="007A10A5">
            <w:pPr>
              <w:spacing w:after="120"/>
              <w:rPr>
                <w:rFonts w:ascii="Times New Roman" w:hAnsi="Times New Roman" w:cs="Times New Roman"/>
                <w:sz w:val="28"/>
                <w:szCs w:val="28"/>
                <w:lang w:val="en-US"/>
              </w:rPr>
            </w:pPr>
            <w:r w:rsidRPr="007A10A5">
              <w:rPr>
                <w:rFonts w:ascii="Times New Roman" w:hAnsi="Times New Roman" w:cs="Times New Roman"/>
                <w:sz w:val="28"/>
                <w:szCs w:val="28"/>
              </w:rPr>
              <w:t>3.</w:t>
            </w:r>
          </w:p>
        </w:tc>
        <w:tc>
          <w:tcPr>
            <w:tcW w:w="3536" w:type="dxa"/>
          </w:tcPr>
          <w:p w14:paraId="480D9830" w14:textId="5418F268" w:rsidR="00A71542" w:rsidRPr="007A10A5" w:rsidRDefault="00A71542" w:rsidP="007A10A5">
            <w:pPr>
              <w:spacing w:after="120"/>
              <w:rPr>
                <w:rFonts w:ascii="Times New Roman" w:hAnsi="Times New Roman" w:cs="Times New Roman"/>
                <w:sz w:val="28"/>
                <w:szCs w:val="28"/>
                <w:lang w:val="fr-FR"/>
              </w:rPr>
            </w:pPr>
            <w:r w:rsidRPr="007A10A5">
              <w:rPr>
                <w:rFonts w:ascii="Times New Roman" w:hAnsi="Times New Roman" w:cs="Times New Roman"/>
                <w:sz w:val="28"/>
                <w:szCs w:val="28"/>
                <w:lang w:val="fr-FR"/>
              </w:rPr>
              <w:t>Approuver l'IFPA à la 3ème AG de l'OISA</w:t>
            </w:r>
          </w:p>
        </w:tc>
        <w:tc>
          <w:tcPr>
            <w:tcW w:w="3119" w:type="dxa"/>
          </w:tcPr>
          <w:p w14:paraId="4C944872" w14:textId="7251F06B" w:rsidR="00A71542" w:rsidRPr="007A10A5" w:rsidRDefault="00A71542" w:rsidP="007A10A5">
            <w:pPr>
              <w:spacing w:after="120"/>
              <w:rPr>
                <w:rFonts w:ascii="Times New Roman" w:hAnsi="Times New Roman" w:cs="Times New Roman"/>
                <w:sz w:val="28"/>
                <w:szCs w:val="28"/>
                <w:lang w:val="fr-FR"/>
              </w:rPr>
            </w:pPr>
            <w:r w:rsidRPr="007A10A5">
              <w:rPr>
                <w:rFonts w:ascii="Times New Roman" w:hAnsi="Times New Roman" w:cs="Times New Roman"/>
                <w:sz w:val="28"/>
                <w:szCs w:val="28"/>
                <w:lang w:val="fr-FR"/>
              </w:rPr>
              <w:t>Résolution sur l’établissement de l'IFPA</w:t>
            </w:r>
          </w:p>
        </w:tc>
        <w:tc>
          <w:tcPr>
            <w:tcW w:w="2268" w:type="dxa"/>
          </w:tcPr>
          <w:p w14:paraId="6FAC238A" w14:textId="01962725" w:rsidR="00A71542" w:rsidRPr="007A10A5" w:rsidRDefault="00A71542" w:rsidP="007A10A5">
            <w:pPr>
              <w:spacing w:after="120"/>
              <w:rPr>
                <w:rFonts w:ascii="Times New Roman" w:hAnsi="Times New Roman" w:cs="Times New Roman"/>
                <w:sz w:val="28"/>
                <w:szCs w:val="28"/>
                <w:lang w:val="en-US"/>
              </w:rPr>
            </w:pPr>
            <w:r w:rsidRPr="007A10A5">
              <w:rPr>
                <w:rFonts w:ascii="Times New Roman" w:hAnsi="Times New Roman" w:cs="Times New Roman"/>
                <w:sz w:val="28"/>
                <w:szCs w:val="28"/>
                <w:lang w:val="fr-FR"/>
              </w:rPr>
              <w:t xml:space="preserve">Les </w:t>
            </w:r>
            <w:r w:rsidRPr="007A10A5">
              <w:rPr>
                <w:rFonts w:ascii="Times New Roman" w:hAnsi="Times New Roman" w:cs="Times New Roman"/>
                <w:sz w:val="28"/>
                <w:szCs w:val="28"/>
              </w:rPr>
              <w:t xml:space="preserve">3-4 </w:t>
            </w:r>
            <w:r w:rsidRPr="007A10A5">
              <w:rPr>
                <w:rFonts w:ascii="Times New Roman" w:hAnsi="Times New Roman" w:cs="Times New Roman"/>
                <w:sz w:val="28"/>
                <w:szCs w:val="28"/>
                <w:lang w:val="fr-FR"/>
              </w:rPr>
              <w:t>dé</w:t>
            </w:r>
            <w:proofErr w:type="spellStart"/>
            <w:r w:rsidRPr="007A10A5">
              <w:rPr>
                <w:rFonts w:ascii="Times New Roman" w:hAnsi="Times New Roman" w:cs="Times New Roman"/>
                <w:sz w:val="28"/>
                <w:szCs w:val="28"/>
              </w:rPr>
              <w:t>cemb</w:t>
            </w:r>
            <w:proofErr w:type="spellEnd"/>
            <w:r w:rsidRPr="007A10A5">
              <w:rPr>
                <w:rFonts w:ascii="Times New Roman" w:hAnsi="Times New Roman" w:cs="Times New Roman"/>
                <w:sz w:val="28"/>
                <w:szCs w:val="28"/>
                <w:lang w:val="fr-FR"/>
              </w:rPr>
              <w:t>re</w:t>
            </w:r>
            <w:r w:rsidRPr="007A10A5">
              <w:rPr>
                <w:rFonts w:ascii="Times New Roman" w:hAnsi="Times New Roman" w:cs="Times New Roman"/>
                <w:sz w:val="28"/>
                <w:szCs w:val="28"/>
              </w:rPr>
              <w:t xml:space="preserve"> 2020</w:t>
            </w:r>
          </w:p>
        </w:tc>
      </w:tr>
      <w:tr w:rsidR="00A71542" w:rsidRPr="007A10A5" w14:paraId="5B6D9F3A" w14:textId="77777777" w:rsidTr="00E30337">
        <w:tc>
          <w:tcPr>
            <w:tcW w:w="428" w:type="dxa"/>
          </w:tcPr>
          <w:p w14:paraId="4A3098DD" w14:textId="35D5656C" w:rsidR="00A71542" w:rsidRPr="007A10A5" w:rsidRDefault="00A71542" w:rsidP="007A10A5">
            <w:pPr>
              <w:spacing w:after="120"/>
              <w:rPr>
                <w:rFonts w:ascii="Times New Roman" w:hAnsi="Times New Roman" w:cs="Times New Roman"/>
                <w:sz w:val="28"/>
                <w:szCs w:val="28"/>
                <w:lang w:val="en-US"/>
              </w:rPr>
            </w:pPr>
            <w:r w:rsidRPr="007A10A5">
              <w:rPr>
                <w:rFonts w:ascii="Times New Roman" w:hAnsi="Times New Roman" w:cs="Times New Roman"/>
                <w:sz w:val="28"/>
                <w:szCs w:val="28"/>
              </w:rPr>
              <w:lastRenderedPageBreak/>
              <w:t>4.</w:t>
            </w:r>
          </w:p>
        </w:tc>
        <w:tc>
          <w:tcPr>
            <w:tcW w:w="3536" w:type="dxa"/>
          </w:tcPr>
          <w:p w14:paraId="45653E10" w14:textId="5C186F20" w:rsidR="00A71542" w:rsidRPr="007A10A5" w:rsidRDefault="00A71542" w:rsidP="007A10A5">
            <w:pPr>
              <w:spacing w:after="120"/>
              <w:rPr>
                <w:rFonts w:ascii="Times New Roman" w:hAnsi="Times New Roman" w:cs="Times New Roman"/>
                <w:sz w:val="28"/>
                <w:szCs w:val="28"/>
                <w:lang w:val="en-US"/>
              </w:rPr>
            </w:pPr>
            <w:proofErr w:type="spellStart"/>
            <w:r w:rsidRPr="007A10A5">
              <w:rPr>
                <w:rFonts w:ascii="Times New Roman" w:hAnsi="Times New Roman" w:cs="Times New Roman"/>
                <w:sz w:val="28"/>
                <w:szCs w:val="28"/>
                <w:lang w:val="en-US"/>
              </w:rPr>
              <w:t>Enregistrement</w:t>
            </w:r>
            <w:proofErr w:type="spellEnd"/>
            <w:r w:rsidRPr="007A10A5">
              <w:rPr>
                <w:rFonts w:ascii="Times New Roman" w:hAnsi="Times New Roman" w:cs="Times New Roman"/>
                <w:sz w:val="28"/>
                <w:szCs w:val="28"/>
                <w:lang w:val="en-US"/>
              </w:rPr>
              <w:t xml:space="preserve"> de </w:t>
            </w:r>
            <w:proofErr w:type="spellStart"/>
            <w:r w:rsidRPr="007A10A5">
              <w:rPr>
                <w:rFonts w:ascii="Times New Roman" w:hAnsi="Times New Roman" w:cs="Times New Roman"/>
                <w:sz w:val="28"/>
                <w:szCs w:val="28"/>
                <w:lang w:val="en-US"/>
              </w:rPr>
              <w:t>l'IFPA</w:t>
            </w:r>
            <w:proofErr w:type="spellEnd"/>
          </w:p>
        </w:tc>
        <w:tc>
          <w:tcPr>
            <w:tcW w:w="3119" w:type="dxa"/>
          </w:tcPr>
          <w:p w14:paraId="580AB53E" w14:textId="178C5E9D" w:rsidR="00A71542" w:rsidRPr="007A10A5" w:rsidRDefault="00A71542" w:rsidP="007A10A5">
            <w:pPr>
              <w:spacing w:after="120"/>
              <w:rPr>
                <w:rFonts w:ascii="Times New Roman" w:hAnsi="Times New Roman" w:cs="Times New Roman"/>
                <w:sz w:val="28"/>
                <w:szCs w:val="28"/>
                <w:lang w:val="fr-FR"/>
              </w:rPr>
            </w:pPr>
            <w:r w:rsidRPr="007A10A5">
              <w:rPr>
                <w:rFonts w:ascii="Times New Roman" w:hAnsi="Times New Roman" w:cs="Times New Roman"/>
                <w:sz w:val="28"/>
                <w:szCs w:val="28"/>
                <w:lang w:val="fr-FR"/>
              </w:rPr>
              <w:t>Enregistrement de l'IFPA au Centre financier international d'Astana</w:t>
            </w:r>
          </w:p>
        </w:tc>
        <w:tc>
          <w:tcPr>
            <w:tcW w:w="2268" w:type="dxa"/>
          </w:tcPr>
          <w:p w14:paraId="2DD7E5AA" w14:textId="3FBA637A" w:rsidR="00A71542" w:rsidRPr="007A10A5" w:rsidRDefault="00A71542" w:rsidP="007A10A5">
            <w:pPr>
              <w:spacing w:after="120"/>
              <w:rPr>
                <w:rFonts w:ascii="Times New Roman" w:hAnsi="Times New Roman" w:cs="Times New Roman"/>
                <w:sz w:val="28"/>
                <w:szCs w:val="28"/>
                <w:lang w:val="en-US"/>
              </w:rPr>
            </w:pPr>
            <w:r w:rsidRPr="007A10A5">
              <w:rPr>
                <w:rFonts w:ascii="Times New Roman" w:hAnsi="Times New Roman" w:cs="Times New Roman"/>
                <w:sz w:val="28"/>
                <w:szCs w:val="28"/>
                <w:lang w:val="fr-FR"/>
              </w:rPr>
              <w:t>Janvier</w:t>
            </w:r>
            <w:r w:rsidRPr="007A10A5">
              <w:rPr>
                <w:rFonts w:ascii="Times New Roman" w:hAnsi="Times New Roman" w:cs="Times New Roman"/>
                <w:sz w:val="28"/>
                <w:szCs w:val="28"/>
              </w:rPr>
              <w:t xml:space="preserve"> 2021</w:t>
            </w:r>
          </w:p>
        </w:tc>
      </w:tr>
    </w:tbl>
    <w:p w14:paraId="44A75AD0" w14:textId="77777777" w:rsidR="00B202F8" w:rsidRPr="007A10A5" w:rsidRDefault="00B202F8" w:rsidP="007A10A5">
      <w:pPr>
        <w:spacing w:after="120" w:line="240" w:lineRule="auto"/>
        <w:jc w:val="both"/>
        <w:rPr>
          <w:rFonts w:ascii="Times New Roman" w:eastAsia="Calibri" w:hAnsi="Times New Roman" w:cs="Times New Roman"/>
          <w:sz w:val="28"/>
          <w:szCs w:val="28"/>
          <w:lang w:eastAsia="ru-RU"/>
        </w:rPr>
      </w:pPr>
    </w:p>
    <w:p w14:paraId="6353B155" w14:textId="7F9E5E54" w:rsidR="00B202F8" w:rsidRPr="007A10A5" w:rsidRDefault="00A71542" w:rsidP="007A10A5">
      <w:pPr>
        <w:spacing w:after="0" w:line="240" w:lineRule="auto"/>
        <w:jc w:val="both"/>
        <w:rPr>
          <w:rFonts w:ascii="Times New Roman" w:eastAsia="Calibri" w:hAnsi="Times New Roman" w:cs="Times New Roman"/>
          <w:b/>
          <w:bCs/>
          <w:sz w:val="28"/>
          <w:szCs w:val="28"/>
          <w:lang w:eastAsia="ru-RU"/>
        </w:rPr>
      </w:pPr>
      <w:r w:rsidRPr="007A10A5">
        <w:rPr>
          <w:rFonts w:ascii="Times New Roman" w:eastAsia="Calibri" w:hAnsi="Times New Roman" w:cs="Times New Roman"/>
          <w:b/>
          <w:bCs/>
          <w:sz w:val="28"/>
          <w:szCs w:val="28"/>
          <w:lang w:eastAsia="ru-RU"/>
        </w:rPr>
        <w:t>Résumé</w:t>
      </w:r>
      <w:r w:rsidR="00B202F8" w:rsidRPr="007A10A5">
        <w:rPr>
          <w:rFonts w:ascii="Times New Roman" w:eastAsia="Calibri" w:hAnsi="Times New Roman" w:cs="Times New Roman"/>
          <w:b/>
          <w:bCs/>
          <w:sz w:val="28"/>
          <w:szCs w:val="28"/>
          <w:lang w:eastAsia="ru-RU"/>
        </w:rPr>
        <w:t xml:space="preserve"> </w:t>
      </w:r>
    </w:p>
    <w:p w14:paraId="624755F3" w14:textId="1A6CA1DA" w:rsidR="00A56B01" w:rsidRPr="007A10A5" w:rsidRDefault="00A71542" w:rsidP="007A10A5">
      <w:pPr>
        <w:spacing w:after="0" w:line="240" w:lineRule="auto"/>
        <w:jc w:val="both"/>
        <w:rPr>
          <w:rFonts w:ascii="Times New Roman" w:eastAsia="Calibri" w:hAnsi="Times New Roman" w:cs="Times New Roman"/>
          <w:sz w:val="28"/>
          <w:szCs w:val="28"/>
          <w:lang w:val="fr-FR" w:eastAsia="ru-RU"/>
        </w:rPr>
      </w:pPr>
      <w:r w:rsidRPr="007A10A5">
        <w:rPr>
          <w:rFonts w:ascii="Times New Roman" w:eastAsia="Calibri" w:hAnsi="Times New Roman" w:cs="Times New Roman"/>
          <w:sz w:val="28"/>
          <w:szCs w:val="28"/>
          <w:lang w:val="fr-FR" w:eastAsia="ru-RU"/>
        </w:rPr>
        <w:t xml:space="preserve">Le Conseil Exécutif est invité à examiner et approuver la création de l'IFPA et à faire les recommandations nécessaires à l'Assemblée Générale en vue d'autoriser le directeur général de l'OISA à créer l'IFPA en tant que filiale de l'OISA sous la forme juridique d'une </w:t>
      </w:r>
      <w:r w:rsidR="003458C0" w:rsidRPr="007A10A5">
        <w:rPr>
          <w:rFonts w:ascii="Times New Roman" w:eastAsia="Calibri" w:hAnsi="Times New Roman" w:cs="Times New Roman"/>
          <w:sz w:val="28"/>
          <w:szCs w:val="28"/>
          <w:lang w:val="fr-FR" w:eastAsia="ru-RU"/>
        </w:rPr>
        <w:t xml:space="preserve">organisation à but non lucratif </w:t>
      </w:r>
      <w:r w:rsidRPr="007A10A5">
        <w:rPr>
          <w:rFonts w:ascii="Times New Roman" w:eastAsia="Calibri" w:hAnsi="Times New Roman" w:cs="Times New Roman"/>
          <w:sz w:val="28"/>
          <w:szCs w:val="28"/>
          <w:lang w:val="fr-FR" w:eastAsia="ru-RU"/>
        </w:rPr>
        <w:t>relevant de la juridiction juridique de l'AIFC.</w:t>
      </w:r>
    </w:p>
    <w:p w14:paraId="65B9476E" w14:textId="77777777" w:rsidR="00A56B01" w:rsidRPr="007A10A5" w:rsidRDefault="00A56B01" w:rsidP="007A10A5">
      <w:pPr>
        <w:spacing w:after="120" w:line="240" w:lineRule="auto"/>
        <w:rPr>
          <w:rFonts w:ascii="Times New Roman" w:hAnsi="Times New Roman" w:cs="Times New Roman"/>
          <w:sz w:val="28"/>
          <w:szCs w:val="28"/>
          <w:lang w:val="fr-FR"/>
        </w:rPr>
      </w:pPr>
    </w:p>
    <w:p w14:paraId="36005448" w14:textId="77777777" w:rsidR="00302133" w:rsidRPr="007A10A5" w:rsidRDefault="00302133" w:rsidP="007A10A5">
      <w:pPr>
        <w:spacing w:after="120" w:line="240" w:lineRule="auto"/>
        <w:rPr>
          <w:rFonts w:ascii="Times New Roman" w:eastAsia="Calibri" w:hAnsi="Times New Roman" w:cs="Times New Roman"/>
          <w:sz w:val="28"/>
          <w:szCs w:val="28"/>
          <w:lang w:val="fr-FR" w:eastAsia="ru-RU"/>
        </w:rPr>
      </w:pPr>
      <w:bookmarkStart w:id="1" w:name="_Hlk19633871"/>
    </w:p>
    <w:bookmarkEnd w:id="1"/>
    <w:p w14:paraId="4E05AAED" w14:textId="4A1E0213" w:rsidR="00A71542" w:rsidRPr="007A10A5" w:rsidRDefault="00A71542" w:rsidP="00FA6DFA">
      <w:pPr>
        <w:spacing w:after="0" w:line="240" w:lineRule="auto"/>
        <w:rPr>
          <w:rFonts w:ascii="Times New Roman" w:hAnsi="Times New Roman" w:cs="Times New Roman"/>
          <w:b/>
          <w:bCs/>
          <w:sz w:val="28"/>
          <w:szCs w:val="28"/>
          <w:lang w:val="fr-FR"/>
        </w:rPr>
      </w:pPr>
      <w:r w:rsidRPr="007A10A5">
        <w:rPr>
          <w:rFonts w:ascii="Times New Roman" w:hAnsi="Times New Roman" w:cs="Times New Roman"/>
          <w:b/>
          <w:bCs/>
          <w:sz w:val="28"/>
          <w:szCs w:val="28"/>
          <w:lang w:val="fr-FR"/>
        </w:rPr>
        <w:t>Le Secr</w:t>
      </w:r>
      <w:r w:rsidR="00BF0C8A" w:rsidRPr="007A10A5">
        <w:rPr>
          <w:rFonts w:ascii="Times New Roman" w:hAnsi="Times New Roman" w:cs="Times New Roman"/>
          <w:b/>
          <w:bCs/>
          <w:sz w:val="28"/>
          <w:szCs w:val="28"/>
          <w:lang w:val="fr-FR"/>
        </w:rPr>
        <w:t>é</w:t>
      </w:r>
      <w:r w:rsidRPr="007A10A5">
        <w:rPr>
          <w:rFonts w:ascii="Times New Roman" w:hAnsi="Times New Roman" w:cs="Times New Roman"/>
          <w:b/>
          <w:bCs/>
          <w:sz w:val="28"/>
          <w:szCs w:val="28"/>
          <w:lang w:val="fr-FR"/>
        </w:rPr>
        <w:t>tariat</w:t>
      </w:r>
    </w:p>
    <w:p w14:paraId="4A7B2123" w14:textId="378845ED" w:rsidR="00A71542" w:rsidRPr="007A10A5" w:rsidRDefault="00A71542" w:rsidP="00FA6DFA">
      <w:pPr>
        <w:spacing w:after="0" w:line="240" w:lineRule="auto"/>
        <w:rPr>
          <w:rFonts w:ascii="Times New Roman" w:hAnsi="Times New Roman" w:cs="Times New Roman"/>
          <w:b/>
          <w:bCs/>
          <w:sz w:val="28"/>
          <w:szCs w:val="28"/>
          <w:lang w:val="fr-FR"/>
        </w:rPr>
      </w:pPr>
      <w:r w:rsidRPr="007A10A5">
        <w:rPr>
          <w:rFonts w:ascii="Times New Roman" w:hAnsi="Times New Roman" w:cs="Times New Roman"/>
          <w:b/>
          <w:bCs/>
          <w:sz w:val="28"/>
          <w:szCs w:val="28"/>
          <w:lang w:val="fr-FR"/>
        </w:rPr>
        <w:t>L’Organisation Islamique pour la Sécurité Alimentaire</w:t>
      </w:r>
    </w:p>
    <w:p w14:paraId="70B309CA" w14:textId="0504A1A0" w:rsidR="00A71542" w:rsidRPr="007A10A5" w:rsidRDefault="00A71542" w:rsidP="00FA6DFA">
      <w:pPr>
        <w:spacing w:after="0" w:line="240" w:lineRule="auto"/>
        <w:rPr>
          <w:rFonts w:ascii="Times New Roman" w:hAnsi="Times New Roman" w:cs="Times New Roman"/>
          <w:b/>
          <w:bCs/>
          <w:sz w:val="28"/>
          <w:szCs w:val="28"/>
          <w:lang w:val="fr-FR"/>
        </w:rPr>
      </w:pPr>
      <w:r w:rsidRPr="007A10A5">
        <w:rPr>
          <w:rFonts w:ascii="Times New Roman" w:hAnsi="Times New Roman" w:cs="Times New Roman"/>
          <w:b/>
          <w:bCs/>
          <w:sz w:val="28"/>
          <w:szCs w:val="28"/>
          <w:lang w:val="fr-FR"/>
        </w:rPr>
        <w:t>Nour-Soultan, République du Kazakhstan</w:t>
      </w:r>
    </w:p>
    <w:p w14:paraId="314229B6" w14:textId="1FE789D1" w:rsidR="00F66D2B" w:rsidRPr="007A10A5" w:rsidRDefault="00A71542" w:rsidP="00FA6DFA">
      <w:pPr>
        <w:spacing w:after="0" w:line="240" w:lineRule="auto"/>
        <w:rPr>
          <w:rFonts w:ascii="Times New Roman" w:hAnsi="Times New Roman" w:cs="Times New Roman"/>
          <w:sz w:val="28"/>
          <w:szCs w:val="28"/>
          <w:lang w:val="fr-FR"/>
        </w:rPr>
      </w:pPr>
      <w:r w:rsidRPr="007A10A5">
        <w:rPr>
          <w:rFonts w:ascii="Times New Roman" w:hAnsi="Times New Roman" w:cs="Times New Roman"/>
          <w:b/>
          <w:bCs/>
          <w:sz w:val="28"/>
          <w:szCs w:val="28"/>
          <w:lang w:val="fr-FR"/>
        </w:rPr>
        <w:t>Le 15 octobre 2020</w:t>
      </w:r>
    </w:p>
    <w:sectPr w:rsidR="00F66D2B" w:rsidRPr="007A10A5" w:rsidSect="007A10A5">
      <w:footerReference w:type="default" r:id="rId8"/>
      <w:pgSz w:w="12240" w:h="15840"/>
      <w:pgMar w:top="720" w:right="720" w:bottom="72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F84FFB" w14:textId="77777777" w:rsidR="00337916" w:rsidRDefault="00337916">
      <w:pPr>
        <w:spacing w:after="0" w:line="240" w:lineRule="auto"/>
      </w:pPr>
      <w:r>
        <w:separator/>
      </w:r>
    </w:p>
  </w:endnote>
  <w:endnote w:type="continuationSeparator" w:id="0">
    <w:p w14:paraId="41544A8D" w14:textId="77777777" w:rsidR="00337916" w:rsidRDefault="00337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7428264"/>
      <w:docPartObj>
        <w:docPartGallery w:val="Page Numbers (Bottom of Page)"/>
        <w:docPartUnique/>
      </w:docPartObj>
    </w:sdtPr>
    <w:sdtEndPr/>
    <w:sdtContent>
      <w:p w14:paraId="227F7348" w14:textId="078C1987" w:rsidR="00FA6DFA" w:rsidRDefault="00FA6DFA">
        <w:pPr>
          <w:pStyle w:val="a6"/>
          <w:jc w:val="right"/>
        </w:pPr>
        <w:r>
          <w:fldChar w:fldCharType="begin"/>
        </w:r>
        <w:r>
          <w:instrText>PAGE   \* MERGEFORMAT</w:instrText>
        </w:r>
        <w:r>
          <w:fldChar w:fldCharType="separate"/>
        </w:r>
        <w:r w:rsidRPr="00FA6DFA">
          <w:rPr>
            <w:noProof/>
            <w:lang w:val="ru-RU"/>
          </w:rPr>
          <w:t>2</w:t>
        </w:r>
        <w:r>
          <w:fldChar w:fldCharType="end"/>
        </w:r>
      </w:p>
    </w:sdtContent>
  </w:sdt>
  <w:p w14:paraId="3A526439" w14:textId="77777777" w:rsidR="00A56B01" w:rsidRDefault="00A56B0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D906D" w14:textId="77777777" w:rsidR="00337916" w:rsidRDefault="00337916">
      <w:pPr>
        <w:spacing w:after="0" w:line="240" w:lineRule="auto"/>
      </w:pPr>
      <w:r>
        <w:separator/>
      </w:r>
    </w:p>
  </w:footnote>
  <w:footnote w:type="continuationSeparator" w:id="0">
    <w:p w14:paraId="1258D73A" w14:textId="77777777" w:rsidR="00337916" w:rsidRDefault="003379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1E6F4A"/>
    <w:multiLevelType w:val="hybridMultilevel"/>
    <w:tmpl w:val="C9E4A8AA"/>
    <w:lvl w:ilvl="0" w:tplc="AEB859D6">
      <w:start w:val="4"/>
      <w:numFmt w:val="bullet"/>
      <w:lvlText w:val="-"/>
      <w:lvlJc w:val="left"/>
      <w:pPr>
        <w:ind w:left="785" w:hanging="360"/>
      </w:pPr>
      <w:rPr>
        <w:rFonts w:ascii="Arial" w:eastAsiaTheme="minorHAnsi" w:hAnsi="Arial" w:cs="Aria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 w15:restartNumberingAfterBreak="0">
    <w:nsid w:val="207C7D8A"/>
    <w:multiLevelType w:val="multilevel"/>
    <w:tmpl w:val="FB547F0E"/>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14F7F91"/>
    <w:multiLevelType w:val="hybridMultilevel"/>
    <w:tmpl w:val="777EB792"/>
    <w:lvl w:ilvl="0" w:tplc="1446FDCC">
      <w:start w:val="1"/>
      <w:numFmt w:val="bullet"/>
      <w:lvlText w:val="•"/>
      <w:lvlJc w:val="left"/>
      <w:pPr>
        <w:tabs>
          <w:tab w:val="num" w:pos="720"/>
        </w:tabs>
        <w:ind w:left="720" w:hanging="360"/>
      </w:pPr>
      <w:rPr>
        <w:rFonts w:ascii="Arial" w:hAnsi="Arial" w:hint="default"/>
      </w:rPr>
    </w:lvl>
    <w:lvl w:ilvl="1" w:tplc="4642AF54" w:tentative="1">
      <w:start w:val="1"/>
      <w:numFmt w:val="bullet"/>
      <w:lvlText w:val="•"/>
      <w:lvlJc w:val="left"/>
      <w:pPr>
        <w:tabs>
          <w:tab w:val="num" w:pos="1440"/>
        </w:tabs>
        <w:ind w:left="1440" w:hanging="360"/>
      </w:pPr>
      <w:rPr>
        <w:rFonts w:ascii="Arial" w:hAnsi="Arial" w:hint="default"/>
      </w:rPr>
    </w:lvl>
    <w:lvl w:ilvl="2" w:tplc="C4A2F90E" w:tentative="1">
      <w:start w:val="1"/>
      <w:numFmt w:val="bullet"/>
      <w:lvlText w:val="•"/>
      <w:lvlJc w:val="left"/>
      <w:pPr>
        <w:tabs>
          <w:tab w:val="num" w:pos="2160"/>
        </w:tabs>
        <w:ind w:left="2160" w:hanging="360"/>
      </w:pPr>
      <w:rPr>
        <w:rFonts w:ascii="Arial" w:hAnsi="Arial" w:hint="default"/>
      </w:rPr>
    </w:lvl>
    <w:lvl w:ilvl="3" w:tplc="36FCC358" w:tentative="1">
      <w:start w:val="1"/>
      <w:numFmt w:val="bullet"/>
      <w:lvlText w:val="•"/>
      <w:lvlJc w:val="left"/>
      <w:pPr>
        <w:tabs>
          <w:tab w:val="num" w:pos="2880"/>
        </w:tabs>
        <w:ind w:left="2880" w:hanging="360"/>
      </w:pPr>
      <w:rPr>
        <w:rFonts w:ascii="Arial" w:hAnsi="Arial" w:hint="default"/>
      </w:rPr>
    </w:lvl>
    <w:lvl w:ilvl="4" w:tplc="9B664128" w:tentative="1">
      <w:start w:val="1"/>
      <w:numFmt w:val="bullet"/>
      <w:lvlText w:val="•"/>
      <w:lvlJc w:val="left"/>
      <w:pPr>
        <w:tabs>
          <w:tab w:val="num" w:pos="3600"/>
        </w:tabs>
        <w:ind w:left="3600" w:hanging="360"/>
      </w:pPr>
      <w:rPr>
        <w:rFonts w:ascii="Arial" w:hAnsi="Arial" w:hint="default"/>
      </w:rPr>
    </w:lvl>
    <w:lvl w:ilvl="5" w:tplc="F6B643E8" w:tentative="1">
      <w:start w:val="1"/>
      <w:numFmt w:val="bullet"/>
      <w:lvlText w:val="•"/>
      <w:lvlJc w:val="left"/>
      <w:pPr>
        <w:tabs>
          <w:tab w:val="num" w:pos="4320"/>
        </w:tabs>
        <w:ind w:left="4320" w:hanging="360"/>
      </w:pPr>
      <w:rPr>
        <w:rFonts w:ascii="Arial" w:hAnsi="Arial" w:hint="default"/>
      </w:rPr>
    </w:lvl>
    <w:lvl w:ilvl="6" w:tplc="7A8AA35E" w:tentative="1">
      <w:start w:val="1"/>
      <w:numFmt w:val="bullet"/>
      <w:lvlText w:val="•"/>
      <w:lvlJc w:val="left"/>
      <w:pPr>
        <w:tabs>
          <w:tab w:val="num" w:pos="5040"/>
        </w:tabs>
        <w:ind w:left="5040" w:hanging="360"/>
      </w:pPr>
      <w:rPr>
        <w:rFonts w:ascii="Arial" w:hAnsi="Arial" w:hint="default"/>
      </w:rPr>
    </w:lvl>
    <w:lvl w:ilvl="7" w:tplc="D8BE9174" w:tentative="1">
      <w:start w:val="1"/>
      <w:numFmt w:val="bullet"/>
      <w:lvlText w:val="•"/>
      <w:lvlJc w:val="left"/>
      <w:pPr>
        <w:tabs>
          <w:tab w:val="num" w:pos="5760"/>
        </w:tabs>
        <w:ind w:left="5760" w:hanging="360"/>
      </w:pPr>
      <w:rPr>
        <w:rFonts w:ascii="Arial" w:hAnsi="Arial" w:hint="default"/>
      </w:rPr>
    </w:lvl>
    <w:lvl w:ilvl="8" w:tplc="8A9AC2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E807A9"/>
    <w:multiLevelType w:val="hybridMultilevel"/>
    <w:tmpl w:val="28080AEC"/>
    <w:lvl w:ilvl="0" w:tplc="3A46145C">
      <w:start w:val="1"/>
      <w:numFmt w:val="bullet"/>
      <w:lvlText w:val=""/>
      <w:lvlJc w:val="left"/>
      <w:pPr>
        <w:ind w:left="720" w:hanging="360"/>
      </w:pPr>
      <w:rPr>
        <w:rFonts w:ascii="Symbol" w:hAnsi="Symbol"/>
      </w:rPr>
    </w:lvl>
    <w:lvl w:ilvl="1" w:tplc="9468F846">
      <w:start w:val="1"/>
      <w:numFmt w:val="bullet"/>
      <w:lvlText w:val="o"/>
      <w:lvlJc w:val="left"/>
      <w:pPr>
        <w:ind w:left="1440" w:hanging="360"/>
      </w:pPr>
      <w:rPr>
        <w:rFonts w:ascii="Courier New" w:hAnsi="Courier New" w:cs="Courier New"/>
      </w:rPr>
    </w:lvl>
    <w:lvl w:ilvl="2" w:tplc="171259D2">
      <w:start w:val="1"/>
      <w:numFmt w:val="bullet"/>
      <w:lvlText w:val=""/>
      <w:lvlJc w:val="left"/>
      <w:pPr>
        <w:ind w:left="2160" w:hanging="360"/>
      </w:pPr>
      <w:rPr>
        <w:rFonts w:ascii="Wingdings" w:hAnsi="Wingdings"/>
      </w:rPr>
    </w:lvl>
    <w:lvl w:ilvl="3" w:tplc="3A46145C">
      <w:start w:val="1"/>
      <w:numFmt w:val="bullet"/>
      <w:lvlText w:val=""/>
      <w:lvlJc w:val="left"/>
      <w:pPr>
        <w:ind w:left="2880" w:hanging="360"/>
      </w:pPr>
      <w:rPr>
        <w:rFonts w:ascii="Symbol" w:hAnsi="Symbol"/>
      </w:rPr>
    </w:lvl>
    <w:lvl w:ilvl="4" w:tplc="4B00A71C">
      <w:start w:val="1"/>
      <w:numFmt w:val="bullet"/>
      <w:lvlText w:val="o"/>
      <w:lvlJc w:val="left"/>
      <w:pPr>
        <w:ind w:left="3600" w:hanging="360"/>
      </w:pPr>
      <w:rPr>
        <w:rFonts w:ascii="Courier New" w:hAnsi="Courier New" w:cs="Courier New"/>
      </w:rPr>
    </w:lvl>
    <w:lvl w:ilvl="5" w:tplc="535A3F78">
      <w:start w:val="1"/>
      <w:numFmt w:val="bullet"/>
      <w:lvlText w:val=""/>
      <w:lvlJc w:val="left"/>
      <w:pPr>
        <w:ind w:left="4320" w:hanging="360"/>
      </w:pPr>
      <w:rPr>
        <w:rFonts w:ascii="Wingdings" w:hAnsi="Wingdings"/>
      </w:rPr>
    </w:lvl>
    <w:lvl w:ilvl="6" w:tplc="41BC257E">
      <w:start w:val="1"/>
      <w:numFmt w:val="bullet"/>
      <w:lvlText w:val=""/>
      <w:lvlJc w:val="left"/>
      <w:pPr>
        <w:ind w:left="5040" w:hanging="360"/>
      </w:pPr>
      <w:rPr>
        <w:rFonts w:ascii="Symbol" w:hAnsi="Symbol"/>
      </w:rPr>
    </w:lvl>
    <w:lvl w:ilvl="7" w:tplc="D6F40392">
      <w:start w:val="1"/>
      <w:numFmt w:val="bullet"/>
      <w:lvlText w:val="o"/>
      <w:lvlJc w:val="left"/>
      <w:pPr>
        <w:ind w:left="5760" w:hanging="360"/>
      </w:pPr>
      <w:rPr>
        <w:rFonts w:ascii="Courier New" w:hAnsi="Courier New" w:cs="Courier New"/>
      </w:rPr>
    </w:lvl>
    <w:lvl w:ilvl="8" w:tplc="57629DA6">
      <w:start w:val="1"/>
      <w:numFmt w:val="bullet"/>
      <w:lvlText w:val=""/>
      <w:lvlJc w:val="left"/>
      <w:pPr>
        <w:ind w:left="6480" w:hanging="360"/>
      </w:pPr>
      <w:rPr>
        <w:rFonts w:ascii="Wingdings" w:hAnsi="Wingdings"/>
      </w:rPr>
    </w:lvl>
  </w:abstractNum>
  <w:abstractNum w:abstractNumId="4" w15:restartNumberingAfterBreak="0">
    <w:nsid w:val="30236E96"/>
    <w:multiLevelType w:val="hybridMultilevel"/>
    <w:tmpl w:val="6EF8AEB8"/>
    <w:lvl w:ilvl="0" w:tplc="3A4614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0237344"/>
    <w:multiLevelType w:val="hybridMultilevel"/>
    <w:tmpl w:val="DE1A4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05491D"/>
    <w:multiLevelType w:val="hybridMultilevel"/>
    <w:tmpl w:val="4C747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93F4E"/>
    <w:multiLevelType w:val="hybridMultilevel"/>
    <w:tmpl w:val="3FDEB6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AEE4617"/>
    <w:multiLevelType w:val="hybridMultilevel"/>
    <w:tmpl w:val="6D16837E"/>
    <w:lvl w:ilvl="0" w:tplc="D8C6C8DE">
      <w:numFmt w:val="bullet"/>
      <w:lvlText w:val="-"/>
      <w:lvlJc w:val="left"/>
      <w:pPr>
        <w:ind w:left="720" w:hanging="360"/>
      </w:pPr>
      <w:rPr>
        <w:rFonts w:ascii="Arial" w:eastAsiaTheme="minorHAnsi" w:hAnsi="Arial" w:cs="Arial"/>
      </w:rPr>
    </w:lvl>
    <w:lvl w:ilvl="1" w:tplc="9468F846">
      <w:start w:val="1"/>
      <w:numFmt w:val="bullet"/>
      <w:lvlText w:val="o"/>
      <w:lvlJc w:val="left"/>
      <w:pPr>
        <w:ind w:left="1440" w:hanging="360"/>
      </w:pPr>
      <w:rPr>
        <w:rFonts w:ascii="Courier New" w:hAnsi="Courier New" w:cs="Courier New"/>
      </w:rPr>
    </w:lvl>
    <w:lvl w:ilvl="2" w:tplc="171259D2">
      <w:start w:val="1"/>
      <w:numFmt w:val="bullet"/>
      <w:lvlText w:val=""/>
      <w:lvlJc w:val="left"/>
      <w:pPr>
        <w:ind w:left="2160" w:hanging="360"/>
      </w:pPr>
      <w:rPr>
        <w:rFonts w:ascii="Wingdings" w:hAnsi="Wingdings"/>
      </w:rPr>
    </w:lvl>
    <w:lvl w:ilvl="3" w:tplc="3A46145C">
      <w:start w:val="1"/>
      <w:numFmt w:val="bullet"/>
      <w:lvlText w:val=""/>
      <w:lvlJc w:val="left"/>
      <w:pPr>
        <w:ind w:left="2880" w:hanging="360"/>
      </w:pPr>
      <w:rPr>
        <w:rFonts w:ascii="Symbol" w:hAnsi="Symbol"/>
      </w:rPr>
    </w:lvl>
    <w:lvl w:ilvl="4" w:tplc="4B00A71C">
      <w:start w:val="1"/>
      <w:numFmt w:val="bullet"/>
      <w:lvlText w:val="o"/>
      <w:lvlJc w:val="left"/>
      <w:pPr>
        <w:ind w:left="3600" w:hanging="360"/>
      </w:pPr>
      <w:rPr>
        <w:rFonts w:ascii="Courier New" w:hAnsi="Courier New" w:cs="Courier New"/>
      </w:rPr>
    </w:lvl>
    <w:lvl w:ilvl="5" w:tplc="535A3F78">
      <w:start w:val="1"/>
      <w:numFmt w:val="bullet"/>
      <w:lvlText w:val=""/>
      <w:lvlJc w:val="left"/>
      <w:pPr>
        <w:ind w:left="4320" w:hanging="360"/>
      </w:pPr>
      <w:rPr>
        <w:rFonts w:ascii="Wingdings" w:hAnsi="Wingdings"/>
      </w:rPr>
    </w:lvl>
    <w:lvl w:ilvl="6" w:tplc="41BC257E">
      <w:start w:val="1"/>
      <w:numFmt w:val="bullet"/>
      <w:lvlText w:val=""/>
      <w:lvlJc w:val="left"/>
      <w:pPr>
        <w:ind w:left="5040" w:hanging="360"/>
      </w:pPr>
      <w:rPr>
        <w:rFonts w:ascii="Symbol" w:hAnsi="Symbol"/>
      </w:rPr>
    </w:lvl>
    <w:lvl w:ilvl="7" w:tplc="D6F40392">
      <w:start w:val="1"/>
      <w:numFmt w:val="bullet"/>
      <w:lvlText w:val="o"/>
      <w:lvlJc w:val="left"/>
      <w:pPr>
        <w:ind w:left="5760" w:hanging="360"/>
      </w:pPr>
      <w:rPr>
        <w:rFonts w:ascii="Courier New" w:hAnsi="Courier New" w:cs="Courier New"/>
      </w:rPr>
    </w:lvl>
    <w:lvl w:ilvl="8" w:tplc="57629DA6">
      <w:start w:val="1"/>
      <w:numFmt w:val="bullet"/>
      <w:lvlText w:val=""/>
      <w:lvlJc w:val="left"/>
      <w:pPr>
        <w:ind w:left="6480" w:hanging="360"/>
      </w:pPr>
      <w:rPr>
        <w:rFonts w:ascii="Wingdings" w:hAnsi="Wingdings"/>
      </w:rPr>
    </w:lvl>
  </w:abstractNum>
  <w:abstractNum w:abstractNumId="9" w15:restartNumberingAfterBreak="0">
    <w:nsid w:val="5AF539A2"/>
    <w:multiLevelType w:val="hybridMultilevel"/>
    <w:tmpl w:val="0A12D8D0"/>
    <w:lvl w:ilvl="0" w:tplc="060C441A">
      <w:start w:val="2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5CF7600"/>
    <w:multiLevelType w:val="hybridMultilevel"/>
    <w:tmpl w:val="612EA0B2"/>
    <w:lvl w:ilvl="0" w:tplc="53FE8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FF0278B"/>
    <w:multiLevelType w:val="hybridMultilevel"/>
    <w:tmpl w:val="828EFFF8"/>
    <w:lvl w:ilvl="0" w:tplc="1F14B426">
      <w:start w:val="2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88901B6"/>
    <w:multiLevelType w:val="hybridMultilevel"/>
    <w:tmpl w:val="AD865EC4"/>
    <w:lvl w:ilvl="0" w:tplc="01D6EFBE">
      <w:start w:val="1"/>
      <w:numFmt w:val="bullet"/>
      <w:lvlText w:val="•"/>
      <w:lvlJc w:val="left"/>
      <w:pPr>
        <w:tabs>
          <w:tab w:val="num" w:pos="720"/>
        </w:tabs>
        <w:ind w:left="720" w:hanging="360"/>
      </w:pPr>
      <w:rPr>
        <w:rFonts w:ascii="Arial" w:hAnsi="Arial" w:hint="default"/>
      </w:rPr>
    </w:lvl>
    <w:lvl w:ilvl="1" w:tplc="F6829F5E" w:tentative="1">
      <w:start w:val="1"/>
      <w:numFmt w:val="bullet"/>
      <w:lvlText w:val="•"/>
      <w:lvlJc w:val="left"/>
      <w:pPr>
        <w:tabs>
          <w:tab w:val="num" w:pos="1440"/>
        </w:tabs>
        <w:ind w:left="1440" w:hanging="360"/>
      </w:pPr>
      <w:rPr>
        <w:rFonts w:ascii="Arial" w:hAnsi="Arial" w:hint="default"/>
      </w:rPr>
    </w:lvl>
    <w:lvl w:ilvl="2" w:tplc="53901028" w:tentative="1">
      <w:start w:val="1"/>
      <w:numFmt w:val="bullet"/>
      <w:lvlText w:val="•"/>
      <w:lvlJc w:val="left"/>
      <w:pPr>
        <w:tabs>
          <w:tab w:val="num" w:pos="2160"/>
        </w:tabs>
        <w:ind w:left="2160" w:hanging="360"/>
      </w:pPr>
      <w:rPr>
        <w:rFonts w:ascii="Arial" w:hAnsi="Arial" w:hint="default"/>
      </w:rPr>
    </w:lvl>
    <w:lvl w:ilvl="3" w:tplc="43662580" w:tentative="1">
      <w:start w:val="1"/>
      <w:numFmt w:val="bullet"/>
      <w:lvlText w:val="•"/>
      <w:lvlJc w:val="left"/>
      <w:pPr>
        <w:tabs>
          <w:tab w:val="num" w:pos="2880"/>
        </w:tabs>
        <w:ind w:left="2880" w:hanging="360"/>
      </w:pPr>
      <w:rPr>
        <w:rFonts w:ascii="Arial" w:hAnsi="Arial" w:hint="default"/>
      </w:rPr>
    </w:lvl>
    <w:lvl w:ilvl="4" w:tplc="1D127ECE" w:tentative="1">
      <w:start w:val="1"/>
      <w:numFmt w:val="bullet"/>
      <w:lvlText w:val="•"/>
      <w:lvlJc w:val="left"/>
      <w:pPr>
        <w:tabs>
          <w:tab w:val="num" w:pos="3600"/>
        </w:tabs>
        <w:ind w:left="3600" w:hanging="360"/>
      </w:pPr>
      <w:rPr>
        <w:rFonts w:ascii="Arial" w:hAnsi="Arial" w:hint="default"/>
      </w:rPr>
    </w:lvl>
    <w:lvl w:ilvl="5" w:tplc="4738B226" w:tentative="1">
      <w:start w:val="1"/>
      <w:numFmt w:val="bullet"/>
      <w:lvlText w:val="•"/>
      <w:lvlJc w:val="left"/>
      <w:pPr>
        <w:tabs>
          <w:tab w:val="num" w:pos="4320"/>
        </w:tabs>
        <w:ind w:left="4320" w:hanging="360"/>
      </w:pPr>
      <w:rPr>
        <w:rFonts w:ascii="Arial" w:hAnsi="Arial" w:hint="default"/>
      </w:rPr>
    </w:lvl>
    <w:lvl w:ilvl="6" w:tplc="D284A50E" w:tentative="1">
      <w:start w:val="1"/>
      <w:numFmt w:val="bullet"/>
      <w:lvlText w:val="•"/>
      <w:lvlJc w:val="left"/>
      <w:pPr>
        <w:tabs>
          <w:tab w:val="num" w:pos="5040"/>
        </w:tabs>
        <w:ind w:left="5040" w:hanging="360"/>
      </w:pPr>
      <w:rPr>
        <w:rFonts w:ascii="Arial" w:hAnsi="Arial" w:hint="default"/>
      </w:rPr>
    </w:lvl>
    <w:lvl w:ilvl="7" w:tplc="B6488484" w:tentative="1">
      <w:start w:val="1"/>
      <w:numFmt w:val="bullet"/>
      <w:lvlText w:val="•"/>
      <w:lvlJc w:val="left"/>
      <w:pPr>
        <w:tabs>
          <w:tab w:val="num" w:pos="5760"/>
        </w:tabs>
        <w:ind w:left="5760" w:hanging="360"/>
      </w:pPr>
      <w:rPr>
        <w:rFonts w:ascii="Arial" w:hAnsi="Arial" w:hint="default"/>
      </w:rPr>
    </w:lvl>
    <w:lvl w:ilvl="8" w:tplc="386CFE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9B0F73"/>
    <w:multiLevelType w:val="hybridMultilevel"/>
    <w:tmpl w:val="B0786796"/>
    <w:lvl w:ilvl="0" w:tplc="53FE8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1"/>
  </w:num>
  <w:num w:numId="4">
    <w:abstractNumId w:val="9"/>
  </w:num>
  <w:num w:numId="5">
    <w:abstractNumId w:val="5"/>
  </w:num>
  <w:num w:numId="6">
    <w:abstractNumId w:val="6"/>
  </w:num>
  <w:num w:numId="7">
    <w:abstractNumId w:val="2"/>
  </w:num>
  <w:num w:numId="8">
    <w:abstractNumId w:val="12"/>
  </w:num>
  <w:num w:numId="9">
    <w:abstractNumId w:val="0"/>
  </w:num>
  <w:num w:numId="10">
    <w:abstractNumId w:val="1"/>
  </w:num>
  <w:num w:numId="11">
    <w:abstractNumId w:val="10"/>
  </w:num>
  <w:num w:numId="12">
    <w:abstractNumId w:val="13"/>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E18"/>
    <w:rsid w:val="00063BE5"/>
    <w:rsid w:val="000A65D3"/>
    <w:rsid w:val="000B02BC"/>
    <w:rsid w:val="000C4CF6"/>
    <w:rsid w:val="000D21E3"/>
    <w:rsid w:val="000D34C2"/>
    <w:rsid w:val="000D5678"/>
    <w:rsid w:val="000D7ADB"/>
    <w:rsid w:val="000D7FA7"/>
    <w:rsid w:val="000E61DD"/>
    <w:rsid w:val="000F3900"/>
    <w:rsid w:val="000F49DA"/>
    <w:rsid w:val="001055C2"/>
    <w:rsid w:val="001647E1"/>
    <w:rsid w:val="00167AFD"/>
    <w:rsid w:val="001E12A4"/>
    <w:rsid w:val="002C32CD"/>
    <w:rsid w:val="00302133"/>
    <w:rsid w:val="00323406"/>
    <w:rsid w:val="00330589"/>
    <w:rsid w:val="00337916"/>
    <w:rsid w:val="00343532"/>
    <w:rsid w:val="003458C0"/>
    <w:rsid w:val="003735DA"/>
    <w:rsid w:val="00376559"/>
    <w:rsid w:val="003A6932"/>
    <w:rsid w:val="003C135F"/>
    <w:rsid w:val="003C4AD8"/>
    <w:rsid w:val="003D1577"/>
    <w:rsid w:val="003D7217"/>
    <w:rsid w:val="004033C7"/>
    <w:rsid w:val="00427CEC"/>
    <w:rsid w:val="00463ADE"/>
    <w:rsid w:val="004652E6"/>
    <w:rsid w:val="0048367D"/>
    <w:rsid w:val="004E5B5F"/>
    <w:rsid w:val="004E5D40"/>
    <w:rsid w:val="005002E8"/>
    <w:rsid w:val="0050516A"/>
    <w:rsid w:val="0054013A"/>
    <w:rsid w:val="0057102A"/>
    <w:rsid w:val="0059032D"/>
    <w:rsid w:val="0059791B"/>
    <w:rsid w:val="005D58CD"/>
    <w:rsid w:val="00611ECC"/>
    <w:rsid w:val="006B04AF"/>
    <w:rsid w:val="006E1AA5"/>
    <w:rsid w:val="00724971"/>
    <w:rsid w:val="007310C8"/>
    <w:rsid w:val="00751201"/>
    <w:rsid w:val="00762CB6"/>
    <w:rsid w:val="007820FB"/>
    <w:rsid w:val="007A10A5"/>
    <w:rsid w:val="007D3A0C"/>
    <w:rsid w:val="007D41EA"/>
    <w:rsid w:val="00813251"/>
    <w:rsid w:val="00832569"/>
    <w:rsid w:val="00843308"/>
    <w:rsid w:val="00856850"/>
    <w:rsid w:val="00860304"/>
    <w:rsid w:val="0087595A"/>
    <w:rsid w:val="00897ECB"/>
    <w:rsid w:val="008B1649"/>
    <w:rsid w:val="008B2889"/>
    <w:rsid w:val="008E1A7C"/>
    <w:rsid w:val="00902B12"/>
    <w:rsid w:val="009316C1"/>
    <w:rsid w:val="00961E37"/>
    <w:rsid w:val="00962E1D"/>
    <w:rsid w:val="009632CB"/>
    <w:rsid w:val="009667D6"/>
    <w:rsid w:val="00983873"/>
    <w:rsid w:val="009D5316"/>
    <w:rsid w:val="00A318CC"/>
    <w:rsid w:val="00A56B01"/>
    <w:rsid w:val="00A71542"/>
    <w:rsid w:val="00A82E84"/>
    <w:rsid w:val="00AA3DF4"/>
    <w:rsid w:val="00AA52FA"/>
    <w:rsid w:val="00AF0EA1"/>
    <w:rsid w:val="00AF1ABC"/>
    <w:rsid w:val="00B03373"/>
    <w:rsid w:val="00B07DD0"/>
    <w:rsid w:val="00B16B97"/>
    <w:rsid w:val="00B202F8"/>
    <w:rsid w:val="00B20F85"/>
    <w:rsid w:val="00B5203A"/>
    <w:rsid w:val="00B609A8"/>
    <w:rsid w:val="00B777EF"/>
    <w:rsid w:val="00B850C6"/>
    <w:rsid w:val="00B97C4F"/>
    <w:rsid w:val="00BA31DA"/>
    <w:rsid w:val="00BC07DC"/>
    <w:rsid w:val="00BC3930"/>
    <w:rsid w:val="00BD7D49"/>
    <w:rsid w:val="00BF0C8A"/>
    <w:rsid w:val="00C004F8"/>
    <w:rsid w:val="00C046EC"/>
    <w:rsid w:val="00C3526A"/>
    <w:rsid w:val="00C434D7"/>
    <w:rsid w:val="00C656E6"/>
    <w:rsid w:val="00C870B0"/>
    <w:rsid w:val="00CB7931"/>
    <w:rsid w:val="00CC125B"/>
    <w:rsid w:val="00CD13F7"/>
    <w:rsid w:val="00CF581E"/>
    <w:rsid w:val="00D732B9"/>
    <w:rsid w:val="00D82784"/>
    <w:rsid w:val="00D96361"/>
    <w:rsid w:val="00D965F9"/>
    <w:rsid w:val="00DA72D2"/>
    <w:rsid w:val="00DB12A1"/>
    <w:rsid w:val="00DC0291"/>
    <w:rsid w:val="00E070CF"/>
    <w:rsid w:val="00E12A46"/>
    <w:rsid w:val="00E30337"/>
    <w:rsid w:val="00EF2E18"/>
    <w:rsid w:val="00EF6161"/>
    <w:rsid w:val="00F057DC"/>
    <w:rsid w:val="00F13A80"/>
    <w:rsid w:val="00F3719B"/>
    <w:rsid w:val="00F46CD7"/>
    <w:rsid w:val="00F66D2B"/>
    <w:rsid w:val="00F971E6"/>
    <w:rsid w:val="00FA2C6A"/>
    <w:rsid w:val="00FA6DFA"/>
    <w:rsid w:val="00FB25D8"/>
    <w:rsid w:val="00FB32CD"/>
    <w:rsid w:val="00FC79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2ABBD"/>
  <w15:chartTrackingRefBased/>
  <w15:docId w15:val="{0EEFCC0A-E8E1-4D1A-88DE-D1001F0C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paragraph" w:styleId="a4">
    <w:name w:val="header"/>
    <w:basedOn w:val="a"/>
    <w:link w:val="a5"/>
    <w:uiPriority w:val="99"/>
    <w:unhideWhenUsed/>
    <w:pPr>
      <w:tabs>
        <w:tab w:val="center" w:pos="4680"/>
        <w:tab w:val="right" w:pos="9360"/>
      </w:tabs>
      <w:spacing w:after="0" w:line="240" w:lineRule="auto"/>
    </w:pPr>
  </w:style>
  <w:style w:type="character" w:customStyle="1" w:styleId="a5">
    <w:name w:val="Верхний колонтитул Знак"/>
    <w:basedOn w:val="a0"/>
    <w:link w:val="a4"/>
    <w:uiPriority w:val="99"/>
  </w:style>
  <w:style w:type="paragraph" w:styleId="a6">
    <w:name w:val="footer"/>
    <w:basedOn w:val="a"/>
    <w:link w:val="a7"/>
    <w:uiPriority w:val="99"/>
    <w:unhideWhenUsed/>
    <w:pPr>
      <w:tabs>
        <w:tab w:val="center" w:pos="4680"/>
        <w:tab w:val="right" w:pos="9360"/>
      </w:tabs>
      <w:spacing w:after="0" w:line="240" w:lineRule="auto"/>
    </w:pPr>
  </w:style>
  <w:style w:type="character" w:customStyle="1" w:styleId="a7">
    <w:name w:val="Нижний колонтитул Знак"/>
    <w:basedOn w:val="a0"/>
    <w:link w:val="a6"/>
    <w:uiPriority w:val="99"/>
  </w:style>
  <w:style w:type="paragraph" w:styleId="a8">
    <w:name w:val="No Spacing"/>
    <w:uiPriority w:val="1"/>
    <w:qFormat/>
    <w:pPr>
      <w:spacing w:after="0" w:line="240" w:lineRule="auto"/>
    </w:pPr>
  </w:style>
  <w:style w:type="character" w:customStyle="1" w:styleId="10">
    <w:name w:val="Заголовок 1 Знак"/>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4472C4" w:themeColor="accent1"/>
    </w:rPr>
  </w:style>
  <w:style w:type="character" w:customStyle="1" w:styleId="50">
    <w:name w:val="Заголовок 5 Знак"/>
    <w:basedOn w:val="a0"/>
    <w:link w:val="5"/>
    <w:uiPriority w:val="9"/>
    <w:rPr>
      <w:rFonts w:asciiTheme="majorHAnsi" w:eastAsiaTheme="majorEastAsia" w:hAnsiTheme="majorHAnsi" w:cstheme="majorBidi"/>
      <w:color w:val="1F3763" w:themeColor="accent1" w:themeShade="7F"/>
    </w:rPr>
  </w:style>
  <w:style w:type="character" w:customStyle="1" w:styleId="60">
    <w:name w:val="Заголовок 6 Знак"/>
    <w:basedOn w:val="a0"/>
    <w:link w:val="6"/>
    <w:uiPriority w:val="9"/>
    <w:rPr>
      <w:rFonts w:asciiTheme="majorHAnsi" w:eastAsiaTheme="majorEastAsia" w:hAnsiTheme="majorHAnsi" w:cstheme="majorBidi"/>
      <w:i/>
      <w:iCs/>
      <w:color w:val="1F3763" w:themeColor="accent1" w:themeShade="7F"/>
    </w:rPr>
  </w:style>
  <w:style w:type="character" w:customStyle="1" w:styleId="70">
    <w:name w:val="Заголовок 7 Знак"/>
    <w:basedOn w:val="a0"/>
    <w:link w:val="7"/>
    <w:uiPriority w:val="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Заголовок Знак"/>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c">
    <w:name w:val="Подзаголовок Знак"/>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21">
    <w:name w:val="Quote"/>
    <w:basedOn w:val="a"/>
    <w:next w:val="a"/>
    <w:link w:val="22"/>
    <w:uiPriority w:val="29"/>
    <w:qFormat/>
    <w:rPr>
      <w:i/>
      <w:iCs/>
      <w:color w:val="000000" w:themeColor="text1"/>
    </w:rPr>
  </w:style>
  <w:style w:type="character" w:customStyle="1" w:styleId="22">
    <w:name w:val="Цитата 2 Знак"/>
    <w:basedOn w:val="a0"/>
    <w:link w:val="21"/>
    <w:uiPriority w:val="29"/>
    <w:rPr>
      <w:i/>
      <w:iCs/>
      <w:color w:val="000000" w:themeColor="text1"/>
    </w:rPr>
  </w:style>
  <w:style w:type="paragraph" w:styleId="af1">
    <w:name w:val="Intense Quote"/>
    <w:basedOn w:val="a"/>
    <w:next w:val="a"/>
    <w:link w:val="af2"/>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2">
    <w:name w:val="Выделенная цитата Знак"/>
    <w:basedOn w:val="a0"/>
    <w:link w:val="af1"/>
    <w:uiPriority w:val="30"/>
    <w:rPr>
      <w:b/>
      <w:bCs/>
      <w:i/>
      <w:iCs/>
      <w:color w:val="4472C4" w:themeColor="accent1"/>
    </w:rPr>
  </w:style>
  <w:style w:type="character" w:styleId="af3">
    <w:name w:val="Subtle Reference"/>
    <w:basedOn w:val="a0"/>
    <w:uiPriority w:val="31"/>
    <w:qFormat/>
    <w:rPr>
      <w:smallCaps/>
      <w:color w:val="ED7D31" w:themeColor="accent2"/>
      <w:u w:val="single"/>
    </w:rPr>
  </w:style>
  <w:style w:type="character" w:styleId="af4">
    <w:name w:val="Intense Reference"/>
    <w:basedOn w:val="a0"/>
    <w:uiPriority w:val="32"/>
    <w:qFormat/>
    <w:rPr>
      <w:b/>
      <w:bCs/>
      <w:smallCaps/>
      <w:color w:val="ED7D31" w:themeColor="accent2"/>
      <w:spacing w:val="5"/>
      <w:u w:val="single"/>
    </w:rPr>
  </w:style>
  <w:style w:type="character" w:styleId="af5">
    <w:name w:val="Book Title"/>
    <w:basedOn w:val="a0"/>
    <w:uiPriority w:val="33"/>
    <w:qFormat/>
    <w:rPr>
      <w:b/>
      <w:bCs/>
      <w:smallCaps/>
      <w:spacing w:val="5"/>
    </w:rPr>
  </w:style>
  <w:style w:type="paragraph" w:styleId="af6">
    <w:name w:val="footnote text"/>
    <w:basedOn w:val="a"/>
    <w:link w:val="af7"/>
    <w:uiPriority w:val="99"/>
    <w:semiHidden/>
    <w:unhideWhenUsed/>
    <w:pPr>
      <w:spacing w:after="0" w:line="240" w:lineRule="auto"/>
    </w:pPr>
    <w:rPr>
      <w:sz w:val="20"/>
      <w:szCs w:val="20"/>
    </w:rPr>
  </w:style>
  <w:style w:type="character" w:customStyle="1" w:styleId="af7">
    <w:name w:val="Текст сноски Знак"/>
    <w:basedOn w:val="a0"/>
    <w:link w:val="af6"/>
    <w:uiPriority w:val="99"/>
    <w:semiHidden/>
    <w:rPr>
      <w:sz w:val="20"/>
      <w:szCs w:val="20"/>
    </w:rPr>
  </w:style>
  <w:style w:type="character" w:styleId="af8">
    <w:name w:val="footnote reference"/>
    <w:basedOn w:val="a0"/>
    <w:uiPriority w:val="99"/>
    <w:semiHidden/>
    <w:unhideWhenUsed/>
    <w:rPr>
      <w:vertAlign w:val="superscript"/>
    </w:rPr>
  </w:style>
  <w:style w:type="paragraph" w:styleId="af9">
    <w:name w:val="endnote text"/>
    <w:basedOn w:val="a"/>
    <w:link w:val="afa"/>
    <w:uiPriority w:val="99"/>
    <w:semiHidden/>
    <w:unhideWhenUsed/>
    <w:pPr>
      <w:spacing w:after="0" w:line="240" w:lineRule="auto"/>
    </w:pPr>
    <w:rPr>
      <w:sz w:val="20"/>
      <w:szCs w:val="20"/>
    </w:rPr>
  </w:style>
  <w:style w:type="character" w:customStyle="1" w:styleId="afa">
    <w:name w:val="Текст концевой сноски Знак"/>
    <w:basedOn w:val="a0"/>
    <w:link w:val="af9"/>
    <w:uiPriority w:val="99"/>
    <w:semiHidden/>
    <w:rPr>
      <w:sz w:val="20"/>
      <w:szCs w:val="20"/>
    </w:rPr>
  </w:style>
  <w:style w:type="character" w:styleId="afb">
    <w:name w:val="endnote reference"/>
    <w:basedOn w:val="a0"/>
    <w:uiPriority w:val="99"/>
    <w:semiHidden/>
    <w:unhideWhenUsed/>
    <w:rPr>
      <w:vertAlign w:val="superscript"/>
    </w:rPr>
  </w:style>
  <w:style w:type="character" w:styleId="afc">
    <w:name w:val="Hyperlink"/>
    <w:basedOn w:val="a0"/>
    <w:uiPriority w:val="99"/>
    <w:unhideWhenUsed/>
    <w:rPr>
      <w:color w:val="0563C1" w:themeColor="hyperlink"/>
      <w:u w:val="single"/>
    </w:rPr>
  </w:style>
  <w:style w:type="paragraph" w:styleId="afd">
    <w:name w:val="Plain Text"/>
    <w:basedOn w:val="a"/>
    <w:link w:val="afe"/>
    <w:uiPriority w:val="99"/>
    <w:semiHidden/>
    <w:unhideWhenUsed/>
    <w:pPr>
      <w:spacing w:after="0" w:line="240" w:lineRule="auto"/>
    </w:pPr>
    <w:rPr>
      <w:rFonts w:ascii="Courier New" w:hAnsi="Courier New" w:cs="Courier New"/>
      <w:sz w:val="21"/>
      <w:szCs w:val="21"/>
    </w:rPr>
  </w:style>
  <w:style w:type="character" w:customStyle="1" w:styleId="afe">
    <w:name w:val="Текст Знак"/>
    <w:basedOn w:val="a0"/>
    <w:link w:val="afd"/>
    <w:uiPriority w:val="99"/>
    <w:rPr>
      <w:rFonts w:ascii="Courier New" w:hAnsi="Courier New" w:cs="Courier New"/>
      <w:sz w:val="21"/>
      <w:szCs w:val="21"/>
    </w:rPr>
  </w:style>
  <w:style w:type="paragraph" w:styleId="aff">
    <w:name w:val="envelope address"/>
    <w:basedOn w:val="a"/>
    <w:uiPriority w:val="99"/>
    <w:unhideWhenUsed/>
    <w:pPr>
      <w:spacing w:after="0" w:line="240" w:lineRule="auto"/>
      <w:ind w:left="2880"/>
    </w:pPr>
    <w:rPr>
      <w:rFonts w:asciiTheme="majorHAnsi" w:eastAsiaTheme="majorEastAsia" w:hAnsiTheme="majorHAnsi" w:cstheme="majorBidi"/>
      <w:sz w:val="24"/>
    </w:rPr>
  </w:style>
  <w:style w:type="paragraph" w:styleId="23">
    <w:name w:val="envelope return"/>
    <w:basedOn w:val="a"/>
    <w:uiPriority w:val="99"/>
    <w:unhideWhenUsed/>
    <w:pPr>
      <w:spacing w:after="0" w:line="240" w:lineRule="auto"/>
    </w:pPr>
    <w:rPr>
      <w:rFonts w:asciiTheme="majorHAnsi" w:eastAsiaTheme="majorEastAsia" w:hAnsiTheme="majorHAnsi" w:cstheme="majorBidi"/>
      <w:sz w:val="20"/>
    </w:rPr>
  </w:style>
  <w:style w:type="paragraph" w:styleId="aff0">
    <w:name w:val="Balloon Text"/>
    <w:basedOn w:val="a"/>
    <w:link w:val="aff1"/>
    <w:uiPriority w:val="99"/>
    <w:semiHidden/>
    <w:unhideWhenUsed/>
    <w:rsid w:val="00C870B0"/>
    <w:pPr>
      <w:spacing w:after="0" w:line="240" w:lineRule="auto"/>
    </w:pPr>
    <w:rPr>
      <w:rFonts w:ascii="Segoe UI" w:hAnsi="Segoe UI" w:cs="Segoe UI"/>
      <w:sz w:val="18"/>
      <w:szCs w:val="18"/>
    </w:rPr>
  </w:style>
  <w:style w:type="character" w:customStyle="1" w:styleId="aff1">
    <w:name w:val="Текст выноски Знак"/>
    <w:basedOn w:val="a0"/>
    <w:link w:val="aff0"/>
    <w:uiPriority w:val="99"/>
    <w:semiHidden/>
    <w:rsid w:val="00C870B0"/>
    <w:rPr>
      <w:rFonts w:ascii="Segoe UI" w:hAnsi="Segoe UI" w:cs="Segoe UI"/>
      <w:sz w:val="18"/>
      <w:szCs w:val="18"/>
    </w:rPr>
  </w:style>
  <w:style w:type="table" w:styleId="aff2">
    <w:name w:val="Table Grid"/>
    <w:basedOn w:val="a1"/>
    <w:uiPriority w:val="39"/>
    <w:rsid w:val="00B202F8"/>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58932">
      <w:bodyDiv w:val="1"/>
      <w:marLeft w:val="0"/>
      <w:marRight w:val="0"/>
      <w:marTop w:val="0"/>
      <w:marBottom w:val="0"/>
      <w:divBdr>
        <w:top w:val="none" w:sz="0" w:space="0" w:color="auto"/>
        <w:left w:val="none" w:sz="0" w:space="0" w:color="auto"/>
        <w:bottom w:val="none" w:sz="0" w:space="0" w:color="auto"/>
        <w:right w:val="none" w:sz="0" w:space="0" w:color="auto"/>
      </w:divBdr>
    </w:div>
    <w:div w:id="409617631">
      <w:bodyDiv w:val="1"/>
      <w:marLeft w:val="0"/>
      <w:marRight w:val="0"/>
      <w:marTop w:val="0"/>
      <w:marBottom w:val="0"/>
      <w:divBdr>
        <w:top w:val="none" w:sz="0" w:space="0" w:color="auto"/>
        <w:left w:val="none" w:sz="0" w:space="0" w:color="auto"/>
        <w:bottom w:val="none" w:sz="0" w:space="0" w:color="auto"/>
        <w:right w:val="none" w:sz="0" w:space="0" w:color="auto"/>
      </w:divBdr>
    </w:div>
    <w:div w:id="962225908">
      <w:bodyDiv w:val="1"/>
      <w:marLeft w:val="0"/>
      <w:marRight w:val="0"/>
      <w:marTop w:val="0"/>
      <w:marBottom w:val="0"/>
      <w:divBdr>
        <w:top w:val="none" w:sz="0" w:space="0" w:color="auto"/>
        <w:left w:val="none" w:sz="0" w:space="0" w:color="auto"/>
        <w:bottom w:val="none" w:sz="0" w:space="0" w:color="auto"/>
        <w:right w:val="none" w:sz="0" w:space="0" w:color="auto"/>
      </w:divBdr>
    </w:div>
    <w:div w:id="964510002">
      <w:bodyDiv w:val="1"/>
      <w:marLeft w:val="0"/>
      <w:marRight w:val="0"/>
      <w:marTop w:val="0"/>
      <w:marBottom w:val="0"/>
      <w:divBdr>
        <w:top w:val="none" w:sz="0" w:space="0" w:color="auto"/>
        <w:left w:val="none" w:sz="0" w:space="0" w:color="auto"/>
        <w:bottom w:val="none" w:sz="0" w:space="0" w:color="auto"/>
        <w:right w:val="none" w:sz="0" w:space="0" w:color="auto"/>
      </w:divBdr>
    </w:div>
    <w:div w:id="997657912">
      <w:bodyDiv w:val="1"/>
      <w:marLeft w:val="0"/>
      <w:marRight w:val="0"/>
      <w:marTop w:val="0"/>
      <w:marBottom w:val="0"/>
      <w:divBdr>
        <w:top w:val="none" w:sz="0" w:space="0" w:color="auto"/>
        <w:left w:val="none" w:sz="0" w:space="0" w:color="auto"/>
        <w:bottom w:val="none" w:sz="0" w:space="0" w:color="auto"/>
        <w:right w:val="none" w:sz="0" w:space="0" w:color="auto"/>
      </w:divBdr>
      <w:divsChild>
        <w:div w:id="1210848946">
          <w:marLeft w:val="274"/>
          <w:marRight w:val="0"/>
          <w:marTop w:val="0"/>
          <w:marBottom w:val="240"/>
          <w:divBdr>
            <w:top w:val="none" w:sz="0" w:space="0" w:color="auto"/>
            <w:left w:val="none" w:sz="0" w:space="0" w:color="auto"/>
            <w:bottom w:val="none" w:sz="0" w:space="0" w:color="auto"/>
            <w:right w:val="none" w:sz="0" w:space="0" w:color="auto"/>
          </w:divBdr>
        </w:div>
      </w:divsChild>
    </w:div>
    <w:div w:id="1215702543">
      <w:bodyDiv w:val="1"/>
      <w:marLeft w:val="0"/>
      <w:marRight w:val="0"/>
      <w:marTop w:val="0"/>
      <w:marBottom w:val="0"/>
      <w:divBdr>
        <w:top w:val="none" w:sz="0" w:space="0" w:color="auto"/>
        <w:left w:val="none" w:sz="0" w:space="0" w:color="auto"/>
        <w:bottom w:val="none" w:sz="0" w:space="0" w:color="auto"/>
        <w:right w:val="none" w:sz="0" w:space="0" w:color="auto"/>
      </w:divBdr>
    </w:div>
    <w:div w:id="1227717261">
      <w:bodyDiv w:val="1"/>
      <w:marLeft w:val="0"/>
      <w:marRight w:val="0"/>
      <w:marTop w:val="0"/>
      <w:marBottom w:val="0"/>
      <w:divBdr>
        <w:top w:val="none" w:sz="0" w:space="0" w:color="auto"/>
        <w:left w:val="none" w:sz="0" w:space="0" w:color="auto"/>
        <w:bottom w:val="none" w:sz="0" w:space="0" w:color="auto"/>
        <w:right w:val="none" w:sz="0" w:space="0" w:color="auto"/>
      </w:divBdr>
      <w:divsChild>
        <w:div w:id="834804823">
          <w:marLeft w:val="274"/>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2098</Words>
  <Characters>11963</Characters>
  <Application>Microsoft Office Word</Application>
  <DocSecurity>0</DocSecurity>
  <Lines>99</Lines>
  <Paragraphs>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Hameed Opeloyeru</dc:creator>
  <cp:keywords/>
  <dc:description/>
  <cp:lastModifiedBy>WW</cp:lastModifiedBy>
  <cp:revision>5</cp:revision>
  <cp:lastPrinted>2020-10-16T09:42:00Z</cp:lastPrinted>
  <dcterms:created xsi:type="dcterms:W3CDTF">2020-11-03T16:48:00Z</dcterms:created>
  <dcterms:modified xsi:type="dcterms:W3CDTF">2020-11-06T12:41:00Z</dcterms:modified>
</cp:coreProperties>
</file>